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26D8" w14:textId="2510012F" w:rsidR="00FA3406" w:rsidRDefault="00B53313" w:rsidP="00893D90">
      <w:pPr>
        <w:jc w:val="center"/>
        <w:rPr>
          <w:b/>
          <w:bCs/>
        </w:rPr>
      </w:pPr>
      <w:r>
        <w:rPr>
          <w:b/>
          <w:bCs/>
        </w:rPr>
        <w:t xml:space="preserve">Prudential to Aegon </w:t>
      </w:r>
      <w:r w:rsidR="00893D90" w:rsidRPr="00893D90">
        <w:rPr>
          <w:b/>
          <w:bCs/>
        </w:rPr>
        <w:t>Annual Transfer Option</w:t>
      </w:r>
    </w:p>
    <w:p w14:paraId="7AA710EF" w14:textId="7641975C" w:rsidR="00893D90" w:rsidRDefault="00893D90" w:rsidP="00893D90">
      <w:pPr>
        <w:jc w:val="center"/>
        <w:rPr>
          <w:b/>
          <w:bCs/>
        </w:rPr>
      </w:pPr>
    </w:p>
    <w:p w14:paraId="2B310BA1" w14:textId="128C7868" w:rsidR="00893D90" w:rsidRDefault="00893D90" w:rsidP="00893D90">
      <w:r>
        <w:t xml:space="preserve">Members who have opted out of the </w:t>
      </w:r>
      <w:proofErr w:type="gramStart"/>
      <w:r>
        <w:t>previous</w:t>
      </w:r>
      <w:proofErr w:type="gramEnd"/>
      <w:r>
        <w:t xml:space="preserve"> Bulk transfer to Aegon have the </w:t>
      </w:r>
      <w:proofErr w:type="gramStart"/>
      <w:r>
        <w:t>option</w:t>
      </w:r>
      <w:proofErr w:type="gramEnd"/>
      <w:r>
        <w:t xml:space="preserve"> to transfer their Prudential AVCs to Aegon on an annual basis. </w:t>
      </w:r>
    </w:p>
    <w:p w14:paraId="7CC1DB56" w14:textId="3626A1F0" w:rsidR="00893D90" w:rsidRDefault="00893D90" w:rsidP="00893D90">
      <w:r>
        <w:t xml:space="preserve">If you decide to transfer your Prudential AVCs to Aegon, please complete the AVC Transfer form and return it to </w:t>
      </w:r>
      <w:r w:rsidR="005D786F">
        <w:t>Broadstone</w:t>
      </w:r>
      <w:r>
        <w:t xml:space="preserve"> </w:t>
      </w:r>
      <w:r w:rsidRPr="00B53313">
        <w:rPr>
          <w:b/>
          <w:bCs/>
          <w:u w:val="single"/>
        </w:rPr>
        <w:t>by 31</w:t>
      </w:r>
      <w:r w:rsidRPr="00B53313">
        <w:rPr>
          <w:b/>
          <w:bCs/>
          <w:u w:val="single"/>
          <w:vertAlign w:val="superscript"/>
        </w:rPr>
        <w:t>st</w:t>
      </w:r>
      <w:r w:rsidRPr="00B53313">
        <w:rPr>
          <w:b/>
          <w:bCs/>
          <w:u w:val="single"/>
        </w:rPr>
        <w:t xml:space="preserve"> March 202</w:t>
      </w:r>
      <w:r w:rsidR="00FA3406">
        <w:rPr>
          <w:b/>
          <w:bCs/>
          <w:u w:val="single"/>
        </w:rPr>
        <w:t>5</w:t>
      </w:r>
      <w:r>
        <w:t xml:space="preserve">. </w:t>
      </w:r>
    </w:p>
    <w:p w14:paraId="43AA5236" w14:textId="0D37C630" w:rsidR="00893D90" w:rsidRDefault="00893D90" w:rsidP="00893D90">
      <w:r>
        <w:t xml:space="preserve">Note: You will be exposed to out of market risk whilst your funds are moved from Prudential to Aegon. </w:t>
      </w:r>
    </w:p>
    <w:p w14:paraId="2FBAD9CF" w14:textId="5BC0B8CC" w:rsidR="00B53313" w:rsidRDefault="00B53313" w:rsidP="00893D90">
      <w:r>
        <w:t>Once your fund</w:t>
      </w:r>
      <w:r w:rsidR="007E3E4F">
        <w:t>(s)</w:t>
      </w:r>
      <w:r>
        <w:t xml:space="preserve"> have been invested with Aegon, you’ll receive a letter to confirm the transfer and your account details if you are new to Aegon. </w:t>
      </w:r>
    </w:p>
    <w:p w14:paraId="2B23223C" w14:textId="4833627F" w:rsidR="00893D90" w:rsidRDefault="00893D90" w:rsidP="00893D90">
      <w:pPr>
        <w:rPr>
          <w:b/>
          <w:bCs/>
        </w:rPr>
      </w:pPr>
      <w:r w:rsidRPr="00893D90">
        <w:rPr>
          <w:b/>
          <w:bCs/>
        </w:rPr>
        <w:t xml:space="preserve"> Fund information </w:t>
      </w:r>
    </w:p>
    <w:tbl>
      <w:tblPr>
        <w:tblStyle w:val="TableGridLight"/>
        <w:tblW w:w="9923" w:type="dxa"/>
        <w:tblInd w:w="-5" w:type="dxa"/>
        <w:tblLayout w:type="fixed"/>
        <w:tblLook w:val="04A0" w:firstRow="1" w:lastRow="0" w:firstColumn="1" w:lastColumn="0" w:noHBand="0" w:noVBand="1"/>
      </w:tblPr>
      <w:tblGrid>
        <w:gridCol w:w="1418"/>
        <w:gridCol w:w="1134"/>
        <w:gridCol w:w="1134"/>
        <w:gridCol w:w="1597"/>
        <w:gridCol w:w="1134"/>
        <w:gridCol w:w="3506"/>
      </w:tblGrid>
      <w:tr w:rsidR="000D2491" w:rsidRPr="003374BB" w14:paraId="637066C7" w14:textId="770CCF0D" w:rsidTr="007E3E4F">
        <w:trPr>
          <w:trHeight w:val="30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E7C0B5D" w14:textId="77777777" w:rsidR="000D2491" w:rsidRPr="003374BB" w:rsidRDefault="000D2491" w:rsidP="00E82D69">
            <w:pPr>
              <w:spacing w:before="40" w:after="40"/>
              <w:rPr>
                <w:rFonts w:eastAsia="Times New Roman" w:cs="Arial"/>
                <w:b/>
                <w:bCs/>
                <w:color w:val="000000"/>
                <w:sz w:val="20"/>
                <w:szCs w:val="20"/>
                <w:lang w:eastAsia="en-GB"/>
              </w:rPr>
            </w:pPr>
            <w:r w:rsidRPr="003374BB">
              <w:rPr>
                <w:rFonts w:eastAsia="Times New Roman" w:cs="Arial"/>
                <w:b/>
                <w:bCs/>
                <w:color w:val="000000"/>
                <w:sz w:val="20"/>
                <w:szCs w:val="20"/>
                <w:lang w:eastAsia="en-GB"/>
              </w:rPr>
              <w:t>Prudential fund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BBEE3D" w14:textId="77777777" w:rsidR="000D2491" w:rsidRPr="003374BB" w:rsidRDefault="000D2491" w:rsidP="00E82D69">
            <w:pPr>
              <w:spacing w:before="40" w:after="40"/>
              <w:jc w:val="center"/>
              <w:rPr>
                <w:rFonts w:eastAsia="Times New Roman" w:cs="Arial"/>
                <w:b/>
                <w:bCs/>
                <w:color w:val="000000"/>
                <w:sz w:val="20"/>
                <w:szCs w:val="20"/>
                <w:lang w:eastAsia="en-GB"/>
              </w:rPr>
            </w:pPr>
            <w:r w:rsidRPr="003374BB">
              <w:rPr>
                <w:rFonts w:eastAsia="Times New Roman" w:cs="Arial"/>
                <w:b/>
                <w:bCs/>
                <w:color w:val="000000"/>
                <w:sz w:val="20"/>
                <w:szCs w:val="20"/>
                <w:lang w:eastAsia="en-GB"/>
              </w:rPr>
              <w:t xml:space="preserve">Charges </w:t>
            </w:r>
          </w:p>
          <w:p w14:paraId="07CCDA63" w14:textId="1BB4F230" w:rsidR="000D2491" w:rsidRPr="003374BB" w:rsidRDefault="000D2491" w:rsidP="00E82D69">
            <w:pPr>
              <w:spacing w:before="40" w:after="40"/>
              <w:jc w:val="center"/>
              <w:rPr>
                <w:rFonts w:eastAsia="Times New Roman" w:cs="Arial"/>
                <w:b/>
                <w:bCs/>
                <w:color w:val="000000"/>
                <w:sz w:val="20"/>
                <w:szCs w:val="20"/>
                <w:lang w:eastAsia="en-GB"/>
              </w:rPr>
            </w:pPr>
            <w:r w:rsidRPr="003374BB">
              <w:rPr>
                <w:rFonts w:eastAsia="Times New Roman" w:cs="Arial"/>
                <w:b/>
                <w:bCs/>
                <w:color w:val="000000"/>
                <w:sz w:val="20"/>
                <w:szCs w:val="20"/>
                <w:lang w:eastAsia="en-GB"/>
              </w:rPr>
              <w:t>(% p.a.)</w:t>
            </w:r>
            <w:r w:rsidRPr="003374BB">
              <w:rPr>
                <w:rFonts w:ascii="Arial Bold" w:eastAsia="Times New Roman" w:hAnsi="Arial Bold" w:cs="Arial"/>
                <w:b/>
                <w:bCs/>
                <w:color w:val="000000"/>
                <w:sz w:val="20"/>
                <w:szCs w:val="20"/>
                <w:vertAlign w:val="superscript"/>
                <w:lang w:eastAsia="en-GB"/>
              </w:rPr>
              <w:t>1</w:t>
            </w:r>
          </w:p>
        </w:tc>
        <w:tc>
          <w:tcPr>
            <w:tcW w:w="1134" w:type="dxa"/>
            <w:tcBorders>
              <w:top w:val="nil"/>
              <w:left w:val="single" w:sz="4" w:space="0" w:color="auto"/>
              <w:bottom w:val="nil"/>
              <w:right w:val="single" w:sz="4" w:space="0" w:color="auto"/>
            </w:tcBorders>
          </w:tcPr>
          <w:p w14:paraId="3AE2E637" w14:textId="77777777" w:rsidR="000D2491" w:rsidRPr="003374BB" w:rsidRDefault="000D2491" w:rsidP="00E82D69">
            <w:pPr>
              <w:spacing w:before="40" w:after="40"/>
              <w:jc w:val="center"/>
              <w:rPr>
                <w:rFonts w:eastAsia="Times New Roman" w:cs="Arial"/>
                <w:b/>
                <w:bCs/>
                <w:color w:val="000000"/>
                <w:sz w:val="20"/>
                <w:szCs w:val="20"/>
                <w:lang w:eastAsia="en-GB"/>
              </w:rPr>
            </w:pPr>
          </w:p>
        </w:tc>
        <w:tc>
          <w:tcPr>
            <w:tcW w:w="1597" w:type="dxa"/>
            <w:tcBorders>
              <w:top w:val="single" w:sz="4" w:space="0" w:color="auto"/>
              <w:left w:val="single" w:sz="4" w:space="0" w:color="auto"/>
              <w:bottom w:val="single" w:sz="4" w:space="0" w:color="auto"/>
              <w:right w:val="single" w:sz="4" w:space="0" w:color="auto"/>
            </w:tcBorders>
          </w:tcPr>
          <w:p w14:paraId="35FD6369" w14:textId="358498B3" w:rsidR="000D2491" w:rsidRPr="003374BB" w:rsidRDefault="000D2491" w:rsidP="000D2491">
            <w:pPr>
              <w:spacing w:before="40" w:after="40"/>
              <w:rPr>
                <w:rFonts w:eastAsia="Times New Roman" w:cs="Arial"/>
                <w:b/>
                <w:bCs/>
                <w:color w:val="000000"/>
                <w:sz w:val="20"/>
                <w:szCs w:val="20"/>
                <w:lang w:eastAsia="en-GB"/>
              </w:rPr>
            </w:pPr>
            <w:r w:rsidRPr="003374BB">
              <w:rPr>
                <w:rFonts w:eastAsia="Times New Roman" w:cs="Arial"/>
                <w:b/>
                <w:bCs/>
                <w:color w:val="000000"/>
                <w:sz w:val="20"/>
                <w:szCs w:val="20"/>
                <w:lang w:eastAsia="en-GB"/>
              </w:rPr>
              <w:t xml:space="preserve">Aegon </w:t>
            </w:r>
          </w:p>
          <w:p w14:paraId="6C6AA30B" w14:textId="3EABC0E9" w:rsidR="000D2491" w:rsidRPr="003374BB" w:rsidRDefault="000D2491" w:rsidP="000D2491">
            <w:pPr>
              <w:spacing w:before="40" w:after="40"/>
              <w:rPr>
                <w:rFonts w:eastAsia="Times New Roman" w:cs="Arial"/>
                <w:b/>
                <w:bCs/>
                <w:color w:val="000000"/>
                <w:sz w:val="20"/>
                <w:szCs w:val="20"/>
                <w:lang w:eastAsia="en-GB"/>
              </w:rPr>
            </w:pPr>
            <w:r w:rsidRPr="003374BB">
              <w:rPr>
                <w:rFonts w:eastAsia="Times New Roman" w:cs="Arial"/>
                <w:b/>
                <w:bCs/>
                <w:color w:val="000000"/>
                <w:sz w:val="20"/>
                <w:szCs w:val="20"/>
                <w:lang w:eastAsia="en-GB"/>
              </w:rPr>
              <w:t>fund</w:t>
            </w:r>
          </w:p>
        </w:tc>
        <w:tc>
          <w:tcPr>
            <w:tcW w:w="1134" w:type="dxa"/>
            <w:tcBorders>
              <w:top w:val="single" w:sz="4" w:space="0" w:color="auto"/>
              <w:left w:val="single" w:sz="4" w:space="0" w:color="auto"/>
              <w:bottom w:val="single" w:sz="4" w:space="0" w:color="auto"/>
              <w:right w:val="single" w:sz="4" w:space="0" w:color="auto"/>
            </w:tcBorders>
          </w:tcPr>
          <w:p w14:paraId="119BAAE7" w14:textId="77777777" w:rsidR="000D2491" w:rsidRPr="003374BB" w:rsidRDefault="000D2491" w:rsidP="00E82D69">
            <w:pPr>
              <w:spacing w:before="40" w:after="40"/>
              <w:jc w:val="center"/>
              <w:rPr>
                <w:rFonts w:eastAsia="Times New Roman" w:cs="Arial"/>
                <w:b/>
                <w:bCs/>
                <w:color w:val="000000"/>
                <w:sz w:val="20"/>
                <w:szCs w:val="20"/>
                <w:lang w:eastAsia="en-GB"/>
              </w:rPr>
            </w:pPr>
            <w:r w:rsidRPr="003374BB">
              <w:rPr>
                <w:rFonts w:eastAsia="Times New Roman" w:cs="Arial"/>
                <w:b/>
                <w:bCs/>
                <w:color w:val="000000"/>
                <w:sz w:val="20"/>
                <w:szCs w:val="20"/>
                <w:lang w:eastAsia="en-GB"/>
              </w:rPr>
              <w:t>Charges</w:t>
            </w:r>
          </w:p>
          <w:p w14:paraId="3B998B71" w14:textId="4FAF429F" w:rsidR="000D2491" w:rsidRPr="003374BB" w:rsidRDefault="000D2491" w:rsidP="00E82D69">
            <w:pPr>
              <w:spacing w:before="40" w:after="40"/>
              <w:jc w:val="center"/>
              <w:rPr>
                <w:rFonts w:eastAsia="Times New Roman" w:cs="Arial"/>
                <w:b/>
                <w:bCs/>
                <w:color w:val="000000"/>
                <w:sz w:val="20"/>
                <w:szCs w:val="20"/>
                <w:lang w:eastAsia="en-GB"/>
              </w:rPr>
            </w:pPr>
            <w:r w:rsidRPr="003374BB">
              <w:rPr>
                <w:rFonts w:eastAsia="Times New Roman" w:cs="Arial"/>
                <w:b/>
                <w:bCs/>
                <w:color w:val="000000"/>
                <w:sz w:val="20"/>
                <w:szCs w:val="20"/>
                <w:lang w:eastAsia="en-GB"/>
              </w:rPr>
              <w:t xml:space="preserve"> (% p.a.)</w:t>
            </w:r>
            <w:r w:rsidRPr="003374BB">
              <w:rPr>
                <w:rFonts w:ascii="Arial Bold" w:eastAsia="Times New Roman" w:hAnsi="Arial Bold" w:cs="Arial"/>
                <w:b/>
                <w:bCs/>
                <w:color w:val="000000"/>
                <w:sz w:val="20"/>
                <w:szCs w:val="20"/>
                <w:vertAlign w:val="superscript"/>
                <w:lang w:eastAsia="en-GB"/>
              </w:rPr>
              <w:t>1</w:t>
            </w:r>
          </w:p>
        </w:tc>
        <w:tc>
          <w:tcPr>
            <w:tcW w:w="3506" w:type="dxa"/>
            <w:tcBorders>
              <w:top w:val="single" w:sz="4" w:space="0" w:color="auto"/>
              <w:left w:val="single" w:sz="4" w:space="0" w:color="auto"/>
              <w:bottom w:val="single" w:sz="4" w:space="0" w:color="auto"/>
              <w:right w:val="single" w:sz="4" w:space="0" w:color="auto"/>
            </w:tcBorders>
          </w:tcPr>
          <w:p w14:paraId="41700CC0" w14:textId="11038CFB" w:rsidR="000D2491" w:rsidRPr="003374BB" w:rsidRDefault="000D2491" w:rsidP="00E82D69">
            <w:pPr>
              <w:spacing w:before="40" w:after="40"/>
              <w:jc w:val="center"/>
              <w:rPr>
                <w:rFonts w:eastAsia="Times New Roman" w:cs="Arial"/>
                <w:b/>
                <w:bCs/>
                <w:color w:val="000000"/>
                <w:sz w:val="20"/>
                <w:szCs w:val="20"/>
                <w:lang w:eastAsia="en-GB"/>
              </w:rPr>
            </w:pPr>
            <w:r w:rsidRPr="003374BB">
              <w:rPr>
                <w:rFonts w:eastAsia="Times New Roman" w:cs="Arial"/>
                <w:b/>
                <w:bCs/>
                <w:color w:val="000000"/>
                <w:sz w:val="20"/>
                <w:szCs w:val="20"/>
                <w:lang w:eastAsia="en-GB"/>
              </w:rPr>
              <w:t>Fund factsheet</w:t>
            </w:r>
          </w:p>
        </w:tc>
      </w:tr>
      <w:tr w:rsidR="000D2491" w:rsidRPr="003374BB" w14:paraId="4CC26EF3" w14:textId="02A5F24D"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tcPr>
          <w:p w14:paraId="6A23DBC6" w14:textId="460F59E8" w:rsidR="000D2491" w:rsidRPr="003374BB" w:rsidRDefault="000D2491" w:rsidP="000D2491">
            <w:pPr>
              <w:spacing w:before="40" w:after="40"/>
              <w:rPr>
                <w:rFonts w:eastAsia="Times New Roman" w:cs="Arial"/>
                <w:color w:val="000000"/>
                <w:sz w:val="20"/>
                <w:szCs w:val="20"/>
                <w:lang w:eastAsia="en-GB"/>
              </w:rPr>
            </w:pPr>
            <w:hyperlink r:id="rId8" w:history="1">
              <w:r w:rsidRPr="007E3E4F">
                <w:rPr>
                  <w:rStyle w:val="Hyperlink"/>
                  <w:rFonts w:eastAsia="Times New Roman" w:cs="Arial"/>
                  <w:sz w:val="20"/>
                  <w:szCs w:val="20"/>
                  <w:lang w:eastAsia="en-GB"/>
                </w:rPr>
                <w:t>With Profits</w:t>
              </w:r>
            </w:hyperlink>
            <w:r w:rsidRPr="003374BB">
              <w:rPr>
                <w:rFonts w:eastAsia="Times New Roman" w:cs="Arial"/>
                <w:color w:val="000000"/>
                <w:sz w:val="20"/>
                <w:szCs w:val="20"/>
                <w:lang w:eastAsia="en-GB"/>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7CB321F4"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0.98%</w:t>
            </w:r>
            <w:r w:rsidRPr="003374BB">
              <w:rPr>
                <w:rFonts w:eastAsia="Times New Roman" w:cs="Arial"/>
                <w:color w:val="000000"/>
                <w:sz w:val="20"/>
                <w:szCs w:val="20"/>
                <w:vertAlign w:val="superscript"/>
                <w:lang w:eastAsia="en-GB"/>
              </w:rPr>
              <w:t>2</w:t>
            </w:r>
          </w:p>
        </w:tc>
        <w:tc>
          <w:tcPr>
            <w:tcW w:w="1134" w:type="dxa"/>
            <w:tcBorders>
              <w:top w:val="nil"/>
              <w:left w:val="single" w:sz="4" w:space="0" w:color="auto"/>
              <w:bottom w:val="nil"/>
              <w:right w:val="single" w:sz="4" w:space="0" w:color="auto"/>
            </w:tcBorders>
          </w:tcPr>
          <w:p w14:paraId="6D879735"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ED7706C" w14:textId="18CF64A2"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 xml:space="preserve">BlackRock Lifepath Capital </w:t>
            </w:r>
          </w:p>
        </w:tc>
        <w:tc>
          <w:tcPr>
            <w:tcW w:w="1134" w:type="dxa"/>
            <w:tcBorders>
              <w:top w:val="single" w:sz="4" w:space="0" w:color="auto"/>
              <w:left w:val="single" w:sz="4" w:space="0" w:color="auto"/>
              <w:bottom w:val="single" w:sz="4" w:space="0" w:color="auto"/>
              <w:right w:val="single" w:sz="4" w:space="0" w:color="auto"/>
            </w:tcBorders>
            <w:vAlign w:val="center"/>
          </w:tcPr>
          <w:p w14:paraId="3E5F0D2C" w14:textId="7CADF692"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0.31</w:t>
            </w:r>
          </w:p>
        </w:tc>
        <w:tc>
          <w:tcPr>
            <w:tcW w:w="3506" w:type="dxa"/>
            <w:tcBorders>
              <w:top w:val="single" w:sz="4" w:space="0" w:color="auto"/>
              <w:left w:val="single" w:sz="4" w:space="0" w:color="auto"/>
              <w:bottom w:val="single" w:sz="4" w:space="0" w:color="auto"/>
              <w:right w:val="single" w:sz="4" w:space="0" w:color="auto"/>
            </w:tcBorders>
          </w:tcPr>
          <w:p w14:paraId="334D3191" w14:textId="38D9338E" w:rsidR="000D2491" w:rsidRPr="003374BB" w:rsidRDefault="000D2491" w:rsidP="000D2491">
            <w:pPr>
              <w:spacing w:before="40" w:after="40"/>
              <w:rPr>
                <w:rFonts w:eastAsia="Times New Roman" w:cs="Arial"/>
                <w:color w:val="000000"/>
                <w:sz w:val="20"/>
                <w:szCs w:val="20"/>
                <w:lang w:eastAsia="en-GB"/>
              </w:rPr>
            </w:pPr>
            <w:hyperlink r:id="rId9" w:history="1">
              <w:r w:rsidRPr="003374BB">
                <w:rPr>
                  <w:rStyle w:val="Hyperlink"/>
                  <w:rFonts w:ascii="Calibri" w:hAnsi="Calibri" w:cs="Calibri"/>
                  <w:sz w:val="20"/>
                  <w:szCs w:val="20"/>
                </w:rPr>
                <w:t>https://www.aegon.co.uk/content/dam/ukpaw/documents/LIFEPATH_BYZSFD4.pdf</w:t>
              </w:r>
            </w:hyperlink>
          </w:p>
        </w:tc>
      </w:tr>
      <w:tr w:rsidR="000D2491" w:rsidRPr="003374BB" w14:paraId="061BCBF5" w14:textId="337346FE"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A274B20" w14:textId="07AA9FB8" w:rsidR="000D2491" w:rsidRPr="003374BB" w:rsidRDefault="000D2491" w:rsidP="000D2491">
            <w:pPr>
              <w:spacing w:before="40" w:after="40"/>
              <w:rPr>
                <w:rFonts w:eastAsia="Times New Roman" w:cs="Arial"/>
                <w:color w:val="000000"/>
                <w:sz w:val="20"/>
                <w:szCs w:val="20"/>
                <w:lang w:eastAsia="en-GB"/>
              </w:rPr>
            </w:pPr>
            <w:hyperlink r:id="rId10" w:history="1">
              <w:r w:rsidRPr="007E3E4F">
                <w:rPr>
                  <w:rStyle w:val="Hyperlink"/>
                  <w:rFonts w:eastAsia="Times New Roman" w:cs="Arial"/>
                  <w:sz w:val="20"/>
                  <w:szCs w:val="20"/>
                  <w:lang w:eastAsia="en-GB"/>
                </w:rPr>
                <w:t>Lifestyle Cash</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79E537"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0.55 – 0.71</w:t>
            </w:r>
            <w:r w:rsidRPr="003374BB">
              <w:rPr>
                <w:rFonts w:eastAsia="Times New Roman" w:cs="Arial"/>
                <w:color w:val="000000"/>
                <w:sz w:val="20"/>
                <w:szCs w:val="20"/>
                <w:vertAlign w:val="superscript"/>
                <w:lang w:eastAsia="en-GB"/>
              </w:rPr>
              <w:t>3</w:t>
            </w:r>
          </w:p>
        </w:tc>
        <w:tc>
          <w:tcPr>
            <w:tcW w:w="1134" w:type="dxa"/>
            <w:tcBorders>
              <w:top w:val="nil"/>
              <w:left w:val="single" w:sz="4" w:space="0" w:color="auto"/>
              <w:bottom w:val="nil"/>
              <w:right w:val="single" w:sz="4" w:space="0" w:color="auto"/>
            </w:tcBorders>
          </w:tcPr>
          <w:p w14:paraId="4FB59EBB"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2FAC271" w14:textId="05C0C797"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Lifepath Retirement</w:t>
            </w:r>
          </w:p>
        </w:tc>
        <w:tc>
          <w:tcPr>
            <w:tcW w:w="1134" w:type="dxa"/>
            <w:tcBorders>
              <w:top w:val="single" w:sz="4" w:space="0" w:color="auto"/>
              <w:left w:val="single" w:sz="4" w:space="0" w:color="auto"/>
              <w:bottom w:val="single" w:sz="4" w:space="0" w:color="auto"/>
              <w:right w:val="single" w:sz="4" w:space="0" w:color="auto"/>
            </w:tcBorders>
            <w:vAlign w:val="center"/>
          </w:tcPr>
          <w:p w14:paraId="2E4ABAA9" w14:textId="0E74537C"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0.31</w:t>
            </w:r>
          </w:p>
        </w:tc>
        <w:tc>
          <w:tcPr>
            <w:tcW w:w="3506" w:type="dxa"/>
            <w:tcBorders>
              <w:top w:val="single" w:sz="4" w:space="0" w:color="auto"/>
              <w:left w:val="single" w:sz="4" w:space="0" w:color="auto"/>
              <w:bottom w:val="single" w:sz="4" w:space="0" w:color="auto"/>
              <w:right w:val="single" w:sz="4" w:space="0" w:color="auto"/>
            </w:tcBorders>
          </w:tcPr>
          <w:p w14:paraId="68775B68" w14:textId="1FB37239" w:rsidR="000D2491" w:rsidRPr="003374BB" w:rsidRDefault="000D2491" w:rsidP="000D2491">
            <w:pPr>
              <w:spacing w:before="40" w:after="40"/>
              <w:rPr>
                <w:rFonts w:eastAsia="Times New Roman" w:cs="Arial"/>
                <w:color w:val="000000"/>
                <w:sz w:val="20"/>
                <w:szCs w:val="20"/>
                <w:lang w:eastAsia="en-GB"/>
              </w:rPr>
            </w:pPr>
            <w:hyperlink r:id="rId11" w:history="1">
              <w:r w:rsidRPr="003374BB">
                <w:rPr>
                  <w:rStyle w:val="Hyperlink"/>
                  <w:rFonts w:ascii="Calibri" w:hAnsi="Calibri" w:cs="Calibri"/>
                  <w:sz w:val="20"/>
                  <w:szCs w:val="20"/>
                </w:rPr>
                <w:t>https://www.aegon.co.uk/content/dam/ukpaw/documents/LIFEPATH_BTL26P4.pdf</w:t>
              </w:r>
            </w:hyperlink>
          </w:p>
        </w:tc>
      </w:tr>
      <w:tr w:rsidR="000D2491" w:rsidRPr="003374BB" w14:paraId="774657C2" w14:textId="45FA9C84"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36C1EB0" w14:textId="12F95236" w:rsidR="000D2491" w:rsidRPr="003374BB" w:rsidRDefault="000D2491" w:rsidP="000D2491">
            <w:pPr>
              <w:spacing w:before="40" w:after="40"/>
              <w:rPr>
                <w:rFonts w:eastAsia="Times New Roman" w:cs="Arial"/>
                <w:color w:val="000000"/>
                <w:sz w:val="20"/>
                <w:szCs w:val="20"/>
                <w:lang w:eastAsia="en-GB"/>
              </w:rPr>
            </w:pPr>
            <w:hyperlink r:id="rId12" w:history="1">
              <w:r w:rsidRPr="007E3E4F">
                <w:rPr>
                  <w:rStyle w:val="Hyperlink"/>
                  <w:rFonts w:eastAsia="Times New Roman" w:cs="Arial"/>
                  <w:sz w:val="20"/>
                  <w:szCs w:val="20"/>
                  <w:lang w:eastAsia="en-GB"/>
                </w:rPr>
                <w:t>Lifestyle Index-Linked</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E237FB"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0.71 – 0.76</w:t>
            </w:r>
            <w:r w:rsidRPr="003374BB">
              <w:rPr>
                <w:rFonts w:eastAsia="Times New Roman" w:cs="Arial"/>
                <w:color w:val="000000"/>
                <w:sz w:val="20"/>
                <w:szCs w:val="20"/>
                <w:vertAlign w:val="superscript"/>
                <w:lang w:eastAsia="en-GB"/>
              </w:rPr>
              <w:t>3</w:t>
            </w:r>
          </w:p>
        </w:tc>
        <w:tc>
          <w:tcPr>
            <w:tcW w:w="1134" w:type="dxa"/>
            <w:tcBorders>
              <w:top w:val="nil"/>
              <w:left w:val="single" w:sz="4" w:space="0" w:color="auto"/>
              <w:bottom w:val="nil"/>
              <w:right w:val="single" w:sz="4" w:space="0" w:color="auto"/>
            </w:tcBorders>
          </w:tcPr>
          <w:p w14:paraId="1948187D"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E559804" w14:textId="05975297"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Lifepath Flexi</w:t>
            </w:r>
          </w:p>
        </w:tc>
        <w:tc>
          <w:tcPr>
            <w:tcW w:w="1134" w:type="dxa"/>
            <w:tcBorders>
              <w:top w:val="single" w:sz="4" w:space="0" w:color="auto"/>
              <w:left w:val="single" w:sz="4" w:space="0" w:color="auto"/>
              <w:bottom w:val="single" w:sz="4" w:space="0" w:color="auto"/>
              <w:right w:val="single" w:sz="4" w:space="0" w:color="auto"/>
            </w:tcBorders>
            <w:vAlign w:val="center"/>
          </w:tcPr>
          <w:p w14:paraId="68C63ED3" w14:textId="07EDEF27"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0.31</w:t>
            </w:r>
          </w:p>
        </w:tc>
        <w:tc>
          <w:tcPr>
            <w:tcW w:w="3506" w:type="dxa"/>
            <w:tcBorders>
              <w:top w:val="single" w:sz="4" w:space="0" w:color="auto"/>
              <w:left w:val="single" w:sz="4" w:space="0" w:color="auto"/>
              <w:bottom w:val="single" w:sz="4" w:space="0" w:color="auto"/>
              <w:right w:val="single" w:sz="4" w:space="0" w:color="auto"/>
            </w:tcBorders>
          </w:tcPr>
          <w:p w14:paraId="3A5357D5" w14:textId="4DFC6084" w:rsidR="000D2491" w:rsidRPr="003374BB" w:rsidRDefault="000D2491" w:rsidP="000D2491">
            <w:pPr>
              <w:spacing w:before="40" w:after="40"/>
              <w:rPr>
                <w:rFonts w:eastAsia="Times New Roman" w:cs="Arial"/>
                <w:color w:val="000000"/>
                <w:sz w:val="20"/>
                <w:szCs w:val="20"/>
                <w:lang w:eastAsia="en-GB"/>
              </w:rPr>
            </w:pPr>
            <w:hyperlink r:id="rId13" w:history="1">
              <w:r w:rsidRPr="003374BB">
                <w:rPr>
                  <w:rStyle w:val="Hyperlink"/>
                  <w:rFonts w:ascii="Calibri" w:hAnsi="Calibri" w:cs="Calibri"/>
                  <w:sz w:val="20"/>
                  <w:szCs w:val="20"/>
                </w:rPr>
                <w:t>https://www.aegon.co.uk/content/dam/ukpaw/documents/LIFEPATH_BTL26C1.pdf</w:t>
              </w:r>
            </w:hyperlink>
          </w:p>
        </w:tc>
      </w:tr>
      <w:tr w:rsidR="000D2491" w:rsidRPr="003374BB" w14:paraId="7494F332" w14:textId="2A5D6517"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0A1ADC1" w14:textId="133545A9" w:rsidR="000D2491" w:rsidRPr="003374BB" w:rsidRDefault="000D2491" w:rsidP="000D2491">
            <w:pPr>
              <w:spacing w:before="40" w:after="40"/>
              <w:rPr>
                <w:rFonts w:eastAsia="Times New Roman" w:cs="Arial"/>
                <w:color w:val="000000"/>
                <w:sz w:val="20"/>
                <w:szCs w:val="20"/>
                <w:lang w:eastAsia="en-GB"/>
              </w:rPr>
            </w:pPr>
            <w:hyperlink r:id="rId14" w:history="1">
              <w:r w:rsidRPr="007E3E4F">
                <w:rPr>
                  <w:rStyle w:val="Hyperlink"/>
                  <w:rFonts w:eastAsia="Times New Roman" w:cs="Arial"/>
                  <w:sz w:val="20"/>
                  <w:szCs w:val="20"/>
                  <w:lang w:eastAsia="en-GB"/>
                </w:rPr>
                <w:t>Lifestyle Gilts</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939DC1"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0.66 – 0.71</w:t>
            </w:r>
            <w:r w:rsidRPr="003374BB">
              <w:rPr>
                <w:rFonts w:eastAsia="Times New Roman" w:cs="Arial"/>
                <w:color w:val="000000"/>
                <w:sz w:val="20"/>
                <w:szCs w:val="20"/>
                <w:vertAlign w:val="superscript"/>
                <w:lang w:eastAsia="en-GB"/>
              </w:rPr>
              <w:t>3</w:t>
            </w:r>
          </w:p>
        </w:tc>
        <w:tc>
          <w:tcPr>
            <w:tcW w:w="1134" w:type="dxa"/>
            <w:tcBorders>
              <w:top w:val="nil"/>
              <w:left w:val="single" w:sz="4" w:space="0" w:color="auto"/>
              <w:bottom w:val="nil"/>
              <w:right w:val="single" w:sz="4" w:space="0" w:color="auto"/>
            </w:tcBorders>
          </w:tcPr>
          <w:p w14:paraId="1ECFDB25"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4614E977" w14:textId="7DE03EA2"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MSCI World Index</w:t>
            </w:r>
          </w:p>
        </w:tc>
        <w:tc>
          <w:tcPr>
            <w:tcW w:w="1134" w:type="dxa"/>
            <w:tcBorders>
              <w:top w:val="single" w:sz="4" w:space="0" w:color="auto"/>
              <w:left w:val="single" w:sz="4" w:space="0" w:color="auto"/>
              <w:bottom w:val="single" w:sz="4" w:space="0" w:color="auto"/>
              <w:right w:val="single" w:sz="4" w:space="0" w:color="auto"/>
            </w:tcBorders>
            <w:vAlign w:val="center"/>
          </w:tcPr>
          <w:p w14:paraId="7A4F6238" w14:textId="7DD604B0"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5BFBED9C" w14:textId="167ED1E5" w:rsidR="000D2491" w:rsidRPr="003374BB" w:rsidRDefault="000D2491" w:rsidP="000D2491">
            <w:pPr>
              <w:spacing w:before="40" w:after="40"/>
              <w:rPr>
                <w:rFonts w:eastAsia="Times New Roman" w:cs="Arial"/>
                <w:color w:val="000000"/>
                <w:sz w:val="20"/>
                <w:szCs w:val="20"/>
                <w:lang w:eastAsia="en-GB"/>
              </w:rPr>
            </w:pPr>
            <w:hyperlink r:id="rId15" w:history="1">
              <w:r w:rsidRPr="003374BB">
                <w:rPr>
                  <w:rStyle w:val="Hyperlink"/>
                  <w:rFonts w:ascii="Calibri" w:hAnsi="Calibri" w:cs="Calibri"/>
                  <w:sz w:val="20"/>
                  <w:szCs w:val="20"/>
                </w:rPr>
                <w:t>www.aegon.co.uk/content/dam/ukpaw/documents/Standard_BRJMD17.pdf</w:t>
              </w:r>
            </w:hyperlink>
            <w:r w:rsidRPr="003374BB">
              <w:rPr>
                <w:rStyle w:val="Hyperlink"/>
                <w:rFonts w:ascii="Calibri" w:hAnsi="Calibri" w:cs="Calibri"/>
                <w:color w:val="000000"/>
                <w:sz w:val="20"/>
                <w:szCs w:val="20"/>
              </w:rPr>
              <w:t xml:space="preserve"> </w:t>
            </w:r>
          </w:p>
        </w:tc>
      </w:tr>
      <w:tr w:rsidR="000D2491" w:rsidRPr="003374BB" w14:paraId="3F6B8205" w14:textId="6AD753BC" w:rsidTr="007E3E4F">
        <w:trPr>
          <w:trHeight w:val="28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142A9DF" w14:textId="1DD99AB7" w:rsidR="000D2491" w:rsidRPr="003374BB" w:rsidRDefault="000D2491" w:rsidP="000D2491">
            <w:pPr>
              <w:spacing w:before="40" w:after="40"/>
              <w:rPr>
                <w:rFonts w:eastAsia="Times New Roman" w:cs="Arial"/>
                <w:color w:val="000000"/>
                <w:sz w:val="20"/>
                <w:szCs w:val="20"/>
                <w:lang w:eastAsia="en-GB"/>
              </w:rPr>
            </w:pPr>
            <w:hyperlink r:id="rId16" w:history="1">
              <w:r w:rsidRPr="007E3E4F">
                <w:rPr>
                  <w:rStyle w:val="Hyperlink"/>
                  <w:rFonts w:eastAsia="Times New Roman" w:cs="Arial"/>
                  <w:sz w:val="20"/>
                  <w:szCs w:val="20"/>
                  <w:lang w:eastAsia="en-GB"/>
                </w:rPr>
                <w:t>International Equity</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7B8848"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0.76</w:t>
            </w:r>
          </w:p>
        </w:tc>
        <w:tc>
          <w:tcPr>
            <w:tcW w:w="1134" w:type="dxa"/>
            <w:tcBorders>
              <w:top w:val="nil"/>
              <w:left w:val="single" w:sz="4" w:space="0" w:color="auto"/>
              <w:bottom w:val="nil"/>
              <w:right w:val="single" w:sz="4" w:space="0" w:color="auto"/>
            </w:tcBorders>
          </w:tcPr>
          <w:p w14:paraId="308A862F"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4FDE70E0" w14:textId="2716CB85"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Aegon HSBC Islamic Global Equity Index</w:t>
            </w:r>
          </w:p>
        </w:tc>
        <w:tc>
          <w:tcPr>
            <w:tcW w:w="1134" w:type="dxa"/>
            <w:tcBorders>
              <w:top w:val="single" w:sz="4" w:space="0" w:color="auto"/>
              <w:left w:val="single" w:sz="4" w:space="0" w:color="auto"/>
              <w:bottom w:val="single" w:sz="4" w:space="0" w:color="auto"/>
              <w:right w:val="single" w:sz="4" w:space="0" w:color="auto"/>
            </w:tcBorders>
            <w:vAlign w:val="center"/>
          </w:tcPr>
          <w:p w14:paraId="611C6AA4" w14:textId="30A6284B"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0.55</w:t>
            </w:r>
          </w:p>
        </w:tc>
        <w:tc>
          <w:tcPr>
            <w:tcW w:w="3506" w:type="dxa"/>
            <w:tcBorders>
              <w:top w:val="single" w:sz="4" w:space="0" w:color="auto"/>
              <w:left w:val="single" w:sz="4" w:space="0" w:color="auto"/>
              <w:bottom w:val="single" w:sz="4" w:space="0" w:color="auto"/>
              <w:right w:val="single" w:sz="4" w:space="0" w:color="auto"/>
            </w:tcBorders>
          </w:tcPr>
          <w:p w14:paraId="61B439DF" w14:textId="7164841C" w:rsidR="000D2491" w:rsidRPr="003374BB" w:rsidRDefault="000D2491" w:rsidP="000D2491">
            <w:pPr>
              <w:spacing w:before="40" w:after="40"/>
              <w:rPr>
                <w:rFonts w:eastAsia="Times New Roman" w:cs="Arial"/>
                <w:color w:val="000000"/>
                <w:sz w:val="20"/>
                <w:szCs w:val="20"/>
                <w:lang w:eastAsia="en-GB"/>
              </w:rPr>
            </w:pPr>
            <w:hyperlink r:id="rId17" w:history="1">
              <w:r w:rsidRPr="003374BB">
                <w:rPr>
                  <w:rStyle w:val="Hyperlink"/>
                  <w:rFonts w:ascii="Calibri" w:hAnsi="Calibri" w:cs="Calibri"/>
                  <w:sz w:val="20"/>
                  <w:szCs w:val="20"/>
                </w:rPr>
                <w:t>www.aegon.co.uk/content/dam/ukpaw/documents/Standard_B0RXV19.pdf</w:t>
              </w:r>
            </w:hyperlink>
            <w:r w:rsidRPr="003374BB">
              <w:rPr>
                <w:rStyle w:val="Hyperlink"/>
                <w:rFonts w:ascii="Calibri" w:hAnsi="Calibri" w:cs="Calibri"/>
                <w:sz w:val="20"/>
                <w:szCs w:val="20"/>
              </w:rPr>
              <w:t xml:space="preserve"> </w:t>
            </w:r>
          </w:p>
        </w:tc>
      </w:tr>
      <w:tr w:rsidR="000D2491" w:rsidRPr="003374BB" w14:paraId="48586119" w14:textId="5A1D137A"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A67CA5E" w14:textId="0D86B8C5" w:rsidR="000D2491" w:rsidRPr="003374BB" w:rsidRDefault="000D2491" w:rsidP="000D2491">
            <w:pPr>
              <w:spacing w:before="40" w:after="40"/>
              <w:rPr>
                <w:rFonts w:eastAsia="Times New Roman" w:cs="Arial"/>
                <w:color w:val="000000"/>
                <w:sz w:val="20"/>
                <w:szCs w:val="20"/>
                <w:lang w:eastAsia="en-GB"/>
              </w:rPr>
            </w:pPr>
            <w:hyperlink r:id="rId18" w:history="1">
              <w:r w:rsidRPr="007E3E4F">
                <w:rPr>
                  <w:rStyle w:val="Hyperlink"/>
                  <w:rFonts w:eastAsia="Times New Roman" w:cs="Arial"/>
                  <w:sz w:val="20"/>
                  <w:szCs w:val="20"/>
                  <w:lang w:eastAsia="en-GB"/>
                </w:rPr>
                <w:t>Global Equity</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CB35BE"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0.76</w:t>
            </w:r>
          </w:p>
        </w:tc>
        <w:tc>
          <w:tcPr>
            <w:tcW w:w="1134" w:type="dxa"/>
            <w:tcBorders>
              <w:top w:val="nil"/>
              <w:left w:val="single" w:sz="4" w:space="0" w:color="auto"/>
              <w:bottom w:val="nil"/>
              <w:right w:val="single" w:sz="4" w:space="0" w:color="auto"/>
            </w:tcBorders>
          </w:tcPr>
          <w:p w14:paraId="3DA5D2B4"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5E3AF25D" w14:textId="4D4A7CE2"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World ESG Equity Tracker</w:t>
            </w:r>
          </w:p>
        </w:tc>
        <w:tc>
          <w:tcPr>
            <w:tcW w:w="1134" w:type="dxa"/>
            <w:tcBorders>
              <w:top w:val="single" w:sz="4" w:space="0" w:color="auto"/>
              <w:left w:val="single" w:sz="4" w:space="0" w:color="auto"/>
              <w:bottom w:val="single" w:sz="4" w:space="0" w:color="auto"/>
              <w:right w:val="single" w:sz="4" w:space="0" w:color="auto"/>
            </w:tcBorders>
            <w:vAlign w:val="center"/>
          </w:tcPr>
          <w:p w14:paraId="57F5B0B4" w14:textId="33ADCAA9"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0.30</w:t>
            </w:r>
          </w:p>
        </w:tc>
        <w:tc>
          <w:tcPr>
            <w:tcW w:w="3506" w:type="dxa"/>
            <w:tcBorders>
              <w:top w:val="single" w:sz="4" w:space="0" w:color="auto"/>
              <w:left w:val="single" w:sz="4" w:space="0" w:color="auto"/>
              <w:bottom w:val="single" w:sz="4" w:space="0" w:color="auto"/>
              <w:right w:val="single" w:sz="4" w:space="0" w:color="auto"/>
            </w:tcBorders>
          </w:tcPr>
          <w:p w14:paraId="288105A4" w14:textId="2D447DC7" w:rsidR="000D2491" w:rsidRPr="003374BB" w:rsidRDefault="000D2491" w:rsidP="000D2491">
            <w:pPr>
              <w:spacing w:before="40" w:after="40"/>
              <w:rPr>
                <w:rFonts w:eastAsia="Times New Roman" w:cs="Arial"/>
                <w:color w:val="000000"/>
                <w:sz w:val="20"/>
                <w:szCs w:val="20"/>
                <w:lang w:eastAsia="en-GB"/>
              </w:rPr>
            </w:pPr>
            <w:hyperlink r:id="rId19" w:history="1">
              <w:r w:rsidRPr="003374BB">
                <w:rPr>
                  <w:rStyle w:val="Hyperlink"/>
                  <w:rFonts w:ascii="Calibri" w:hAnsi="Calibri" w:cs="Calibri"/>
                  <w:sz w:val="20"/>
                  <w:szCs w:val="20"/>
                </w:rPr>
                <w:t>www.aegon.co.uk/content/dam/ukpaw/documents/Standard_BKJ9ZS0.pdf</w:t>
              </w:r>
            </w:hyperlink>
            <w:r w:rsidRPr="003374BB">
              <w:rPr>
                <w:rStyle w:val="Hyperlink"/>
                <w:rFonts w:ascii="Calibri" w:hAnsi="Calibri" w:cs="Calibri"/>
                <w:sz w:val="20"/>
                <w:szCs w:val="20"/>
              </w:rPr>
              <w:t xml:space="preserve"> </w:t>
            </w:r>
          </w:p>
        </w:tc>
      </w:tr>
      <w:tr w:rsidR="000D2491" w:rsidRPr="003374BB" w14:paraId="51C02A02" w14:textId="78C221A4" w:rsidTr="007E3E4F">
        <w:trPr>
          <w:trHeight w:val="28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191EAA5" w14:textId="0C0FBC3B" w:rsidR="000D2491" w:rsidRPr="003374BB" w:rsidRDefault="000D2491" w:rsidP="000D2491">
            <w:pPr>
              <w:spacing w:before="40" w:after="40"/>
              <w:rPr>
                <w:rFonts w:eastAsia="Times New Roman" w:cs="Arial"/>
                <w:color w:val="000000"/>
                <w:sz w:val="20"/>
                <w:szCs w:val="20"/>
                <w:lang w:eastAsia="en-GB"/>
              </w:rPr>
            </w:pPr>
            <w:hyperlink r:id="rId20" w:history="1">
              <w:r w:rsidRPr="007E3E4F">
                <w:rPr>
                  <w:rStyle w:val="Hyperlink"/>
                  <w:rFonts w:eastAsia="Times New Roman" w:cs="Arial"/>
                  <w:sz w:val="20"/>
                  <w:szCs w:val="20"/>
                  <w:lang w:eastAsia="en-GB"/>
                </w:rPr>
                <w:t>UK Equity</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E35C9C"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0.76</w:t>
            </w:r>
          </w:p>
        </w:tc>
        <w:tc>
          <w:tcPr>
            <w:tcW w:w="1134" w:type="dxa"/>
            <w:tcBorders>
              <w:top w:val="nil"/>
              <w:left w:val="single" w:sz="4" w:space="0" w:color="auto"/>
              <w:bottom w:val="nil"/>
              <w:right w:val="single" w:sz="4" w:space="0" w:color="auto"/>
            </w:tcBorders>
          </w:tcPr>
          <w:p w14:paraId="60A2CE8E"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1287EF1" w14:textId="1D910CBF"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UK Equity Index</w:t>
            </w:r>
          </w:p>
        </w:tc>
        <w:tc>
          <w:tcPr>
            <w:tcW w:w="1134" w:type="dxa"/>
            <w:tcBorders>
              <w:top w:val="single" w:sz="4" w:space="0" w:color="auto"/>
              <w:left w:val="single" w:sz="4" w:space="0" w:color="auto"/>
              <w:bottom w:val="single" w:sz="4" w:space="0" w:color="auto"/>
              <w:right w:val="single" w:sz="4" w:space="0" w:color="auto"/>
            </w:tcBorders>
            <w:vAlign w:val="center"/>
          </w:tcPr>
          <w:p w14:paraId="24E75DE9" w14:textId="2A15EE76"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4A919234" w14:textId="2669E888" w:rsidR="000D2491" w:rsidRPr="003374BB" w:rsidRDefault="000D2491" w:rsidP="000D2491">
            <w:pPr>
              <w:spacing w:before="40" w:after="40"/>
              <w:rPr>
                <w:rFonts w:eastAsia="Times New Roman" w:cs="Arial"/>
                <w:color w:val="000000"/>
                <w:sz w:val="20"/>
                <w:szCs w:val="20"/>
                <w:lang w:eastAsia="en-GB"/>
              </w:rPr>
            </w:pPr>
            <w:hyperlink r:id="rId21" w:history="1">
              <w:r w:rsidRPr="003374BB">
                <w:rPr>
                  <w:rStyle w:val="Hyperlink"/>
                  <w:rFonts w:ascii="Calibri" w:hAnsi="Calibri" w:cs="Calibri"/>
                  <w:sz w:val="20"/>
                  <w:szCs w:val="20"/>
                </w:rPr>
                <w:t>www.aegon.co.uk/content/dam/ukpaw/documents/Standard_B4KZBD2.pdf</w:t>
              </w:r>
            </w:hyperlink>
            <w:r w:rsidRPr="003374BB">
              <w:rPr>
                <w:rStyle w:val="Hyperlink"/>
                <w:rFonts w:ascii="Calibri" w:hAnsi="Calibri" w:cs="Calibri"/>
                <w:sz w:val="20"/>
                <w:szCs w:val="20"/>
              </w:rPr>
              <w:t xml:space="preserve"> </w:t>
            </w:r>
          </w:p>
        </w:tc>
      </w:tr>
      <w:tr w:rsidR="000D2491" w:rsidRPr="003374BB" w14:paraId="359AA718" w14:textId="4DA2B805"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41871B5" w14:textId="7FB366F8" w:rsidR="000D2491" w:rsidRPr="003374BB" w:rsidRDefault="000D2491" w:rsidP="000D2491">
            <w:pPr>
              <w:spacing w:before="40" w:after="40"/>
              <w:rPr>
                <w:rFonts w:eastAsia="Times New Roman" w:cs="Arial"/>
                <w:color w:val="000000"/>
                <w:sz w:val="20"/>
                <w:szCs w:val="20"/>
                <w:lang w:eastAsia="en-GB"/>
              </w:rPr>
            </w:pPr>
            <w:hyperlink r:id="rId22" w:history="1">
              <w:r w:rsidRPr="007E3E4F">
                <w:rPr>
                  <w:rStyle w:val="Hyperlink"/>
                  <w:rFonts w:eastAsia="Times New Roman" w:cs="Arial"/>
                  <w:sz w:val="20"/>
                  <w:szCs w:val="20"/>
                  <w:lang w:eastAsia="en-GB"/>
                </w:rPr>
                <w:t>UK Equity Passive</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8CF0492"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0.66</w:t>
            </w:r>
          </w:p>
        </w:tc>
        <w:tc>
          <w:tcPr>
            <w:tcW w:w="1134" w:type="dxa"/>
            <w:tcBorders>
              <w:top w:val="nil"/>
              <w:left w:val="single" w:sz="4" w:space="0" w:color="auto"/>
              <w:bottom w:val="nil"/>
              <w:right w:val="single" w:sz="4" w:space="0" w:color="auto"/>
            </w:tcBorders>
          </w:tcPr>
          <w:p w14:paraId="4EE4F925"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A1F5F0A" w14:textId="60DB0F40"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 xml:space="preserve">BlackRock Dynamic Allocation  </w:t>
            </w:r>
          </w:p>
        </w:tc>
        <w:tc>
          <w:tcPr>
            <w:tcW w:w="1134" w:type="dxa"/>
            <w:tcBorders>
              <w:top w:val="single" w:sz="4" w:space="0" w:color="auto"/>
              <w:left w:val="single" w:sz="4" w:space="0" w:color="auto"/>
              <w:bottom w:val="single" w:sz="4" w:space="0" w:color="auto"/>
              <w:right w:val="single" w:sz="4" w:space="0" w:color="auto"/>
            </w:tcBorders>
            <w:vAlign w:val="center"/>
          </w:tcPr>
          <w:p w14:paraId="3A117733" w14:textId="50B9BA5A"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0.62</w:t>
            </w:r>
          </w:p>
        </w:tc>
        <w:tc>
          <w:tcPr>
            <w:tcW w:w="3506" w:type="dxa"/>
            <w:tcBorders>
              <w:top w:val="single" w:sz="4" w:space="0" w:color="auto"/>
              <w:left w:val="single" w:sz="4" w:space="0" w:color="auto"/>
              <w:bottom w:val="single" w:sz="4" w:space="0" w:color="auto"/>
              <w:right w:val="single" w:sz="4" w:space="0" w:color="auto"/>
            </w:tcBorders>
          </w:tcPr>
          <w:p w14:paraId="767A7D91" w14:textId="002EE11F" w:rsidR="000D2491" w:rsidRPr="003374BB" w:rsidRDefault="000D2491" w:rsidP="000D2491">
            <w:pPr>
              <w:spacing w:before="40" w:after="40"/>
              <w:rPr>
                <w:rFonts w:eastAsia="Times New Roman" w:cs="Arial"/>
                <w:color w:val="000000"/>
                <w:sz w:val="20"/>
                <w:szCs w:val="20"/>
                <w:lang w:eastAsia="en-GB"/>
              </w:rPr>
            </w:pPr>
            <w:hyperlink r:id="rId23" w:history="1">
              <w:r w:rsidRPr="003374BB">
                <w:rPr>
                  <w:rStyle w:val="Hyperlink"/>
                  <w:rFonts w:ascii="Calibri" w:hAnsi="Calibri" w:cs="Calibri"/>
                  <w:sz w:val="20"/>
                  <w:szCs w:val="20"/>
                </w:rPr>
                <w:t>www.aegon.co.uk/content/dam/ukpaw/documents/Standard_BWX54Y7.pdf</w:t>
              </w:r>
            </w:hyperlink>
            <w:r w:rsidRPr="003374BB">
              <w:rPr>
                <w:rStyle w:val="Hyperlink"/>
                <w:rFonts w:ascii="Calibri" w:hAnsi="Calibri" w:cs="Calibri"/>
                <w:sz w:val="20"/>
                <w:szCs w:val="20"/>
              </w:rPr>
              <w:t xml:space="preserve"> </w:t>
            </w:r>
          </w:p>
        </w:tc>
      </w:tr>
      <w:tr w:rsidR="000D2491" w:rsidRPr="003374BB" w14:paraId="06D9ED7B" w14:textId="54301724"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90921D5" w14:textId="38F9B658" w:rsidR="000D2491" w:rsidRPr="003374BB" w:rsidRDefault="000D2491" w:rsidP="000D2491">
            <w:pPr>
              <w:spacing w:before="40" w:after="40"/>
              <w:rPr>
                <w:rFonts w:eastAsia="Times New Roman" w:cs="Arial"/>
                <w:color w:val="000000"/>
                <w:sz w:val="20"/>
                <w:szCs w:val="20"/>
                <w:lang w:eastAsia="en-GB"/>
              </w:rPr>
            </w:pPr>
            <w:hyperlink r:id="rId24" w:history="1">
              <w:r w:rsidRPr="007E3E4F">
                <w:rPr>
                  <w:rStyle w:val="Hyperlink"/>
                  <w:rFonts w:eastAsia="Times New Roman" w:cs="Arial"/>
                  <w:sz w:val="20"/>
                  <w:szCs w:val="20"/>
                  <w:lang w:eastAsia="en-GB"/>
                </w:rPr>
                <w:t>Discretionary</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63A140"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0.78</w:t>
            </w:r>
          </w:p>
        </w:tc>
        <w:tc>
          <w:tcPr>
            <w:tcW w:w="1134" w:type="dxa"/>
            <w:tcBorders>
              <w:top w:val="nil"/>
              <w:left w:val="single" w:sz="4" w:space="0" w:color="auto"/>
              <w:bottom w:val="nil"/>
              <w:right w:val="single" w:sz="4" w:space="0" w:color="auto"/>
            </w:tcBorders>
          </w:tcPr>
          <w:p w14:paraId="6F63D935"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0843C9C4" w14:textId="4136D3B0"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 xml:space="preserve">BlackRock Corporate Bond All Stocks Index  </w:t>
            </w:r>
          </w:p>
        </w:tc>
        <w:tc>
          <w:tcPr>
            <w:tcW w:w="1134" w:type="dxa"/>
            <w:tcBorders>
              <w:top w:val="single" w:sz="4" w:space="0" w:color="auto"/>
              <w:left w:val="single" w:sz="4" w:space="0" w:color="auto"/>
              <w:bottom w:val="single" w:sz="4" w:space="0" w:color="auto"/>
              <w:right w:val="single" w:sz="4" w:space="0" w:color="auto"/>
            </w:tcBorders>
            <w:vAlign w:val="center"/>
          </w:tcPr>
          <w:p w14:paraId="423C7809" w14:textId="22525245"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53F49678" w14:textId="4B2AD897" w:rsidR="000D2491" w:rsidRPr="003374BB" w:rsidRDefault="000D2491" w:rsidP="000D2491">
            <w:pPr>
              <w:spacing w:before="40" w:after="40"/>
              <w:rPr>
                <w:rFonts w:eastAsia="Times New Roman" w:cs="Arial"/>
                <w:color w:val="000000"/>
                <w:sz w:val="20"/>
                <w:szCs w:val="20"/>
                <w:lang w:eastAsia="en-GB"/>
              </w:rPr>
            </w:pPr>
            <w:hyperlink r:id="rId25" w:history="1">
              <w:r w:rsidRPr="003374BB">
                <w:rPr>
                  <w:rStyle w:val="Hyperlink"/>
                  <w:rFonts w:ascii="Calibri" w:hAnsi="Calibri" w:cs="Calibri"/>
                  <w:sz w:val="20"/>
                  <w:szCs w:val="20"/>
                </w:rPr>
                <w:t>www.aegon.co.uk/content/dam/ukpaw/documents/Standard_B62DYC8.pdf</w:t>
              </w:r>
            </w:hyperlink>
            <w:r w:rsidRPr="003374BB">
              <w:rPr>
                <w:rStyle w:val="Hyperlink"/>
                <w:rFonts w:ascii="Calibri" w:hAnsi="Calibri" w:cs="Calibri"/>
                <w:sz w:val="20"/>
                <w:szCs w:val="20"/>
              </w:rPr>
              <w:t xml:space="preserve"> </w:t>
            </w:r>
          </w:p>
        </w:tc>
      </w:tr>
      <w:tr w:rsidR="000D2491" w:rsidRPr="003374BB" w14:paraId="21010662" w14:textId="693D63FD"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1783C0E" w14:textId="18D45348" w:rsidR="000D2491" w:rsidRPr="003374BB" w:rsidRDefault="000D2491" w:rsidP="000D2491">
            <w:pPr>
              <w:spacing w:before="40" w:after="40"/>
              <w:rPr>
                <w:rFonts w:eastAsia="Times New Roman" w:cs="Arial"/>
                <w:color w:val="000000"/>
                <w:sz w:val="20"/>
                <w:szCs w:val="20"/>
                <w:lang w:eastAsia="en-GB"/>
              </w:rPr>
            </w:pPr>
            <w:hyperlink r:id="rId26" w:history="1">
              <w:r w:rsidRPr="007E3E4F">
                <w:rPr>
                  <w:rStyle w:val="Hyperlink"/>
                  <w:rFonts w:eastAsia="Times New Roman" w:cs="Arial"/>
                  <w:sz w:val="20"/>
                  <w:szCs w:val="20"/>
                  <w:lang w:eastAsia="en-GB"/>
                </w:rPr>
                <w:t>Long-Term Gilt Passive</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A4E404"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0.66</w:t>
            </w:r>
          </w:p>
        </w:tc>
        <w:tc>
          <w:tcPr>
            <w:tcW w:w="1134" w:type="dxa"/>
            <w:tcBorders>
              <w:top w:val="nil"/>
              <w:left w:val="single" w:sz="4" w:space="0" w:color="auto"/>
              <w:bottom w:val="nil"/>
              <w:right w:val="single" w:sz="4" w:space="0" w:color="auto"/>
            </w:tcBorders>
          </w:tcPr>
          <w:p w14:paraId="1DE42D3E"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36718EA0" w14:textId="6490B106"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 xml:space="preserve">BlackRock Over 15 Years Gilt Index </w:t>
            </w:r>
          </w:p>
        </w:tc>
        <w:tc>
          <w:tcPr>
            <w:tcW w:w="1134" w:type="dxa"/>
            <w:tcBorders>
              <w:top w:val="single" w:sz="4" w:space="0" w:color="auto"/>
              <w:left w:val="single" w:sz="4" w:space="0" w:color="auto"/>
              <w:bottom w:val="single" w:sz="4" w:space="0" w:color="auto"/>
              <w:right w:val="single" w:sz="4" w:space="0" w:color="auto"/>
            </w:tcBorders>
            <w:vAlign w:val="center"/>
          </w:tcPr>
          <w:p w14:paraId="38F1E1F0" w14:textId="06EF631C"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7331DE6A" w14:textId="28B9E544" w:rsidR="000D2491" w:rsidRPr="003374BB" w:rsidRDefault="000D2491" w:rsidP="000D2491">
            <w:pPr>
              <w:spacing w:before="40" w:after="40"/>
              <w:rPr>
                <w:rFonts w:eastAsia="Times New Roman" w:cs="Arial"/>
                <w:color w:val="000000"/>
                <w:sz w:val="20"/>
                <w:szCs w:val="20"/>
                <w:lang w:eastAsia="en-GB"/>
              </w:rPr>
            </w:pPr>
            <w:hyperlink r:id="rId27" w:history="1">
              <w:r w:rsidRPr="003374BB">
                <w:rPr>
                  <w:rStyle w:val="Hyperlink"/>
                  <w:rFonts w:ascii="Calibri" w:hAnsi="Calibri" w:cs="Calibri"/>
                  <w:sz w:val="20"/>
                  <w:szCs w:val="20"/>
                </w:rPr>
                <w:t>www.aegon.co.uk/content/dam/ukpaw/documents/Standard_B4KDR61.pdf</w:t>
              </w:r>
            </w:hyperlink>
            <w:r w:rsidRPr="003374BB">
              <w:rPr>
                <w:rStyle w:val="Hyperlink"/>
                <w:rFonts w:ascii="Calibri" w:hAnsi="Calibri" w:cs="Calibri"/>
                <w:sz w:val="20"/>
                <w:szCs w:val="20"/>
              </w:rPr>
              <w:t xml:space="preserve"> </w:t>
            </w:r>
          </w:p>
        </w:tc>
      </w:tr>
      <w:tr w:rsidR="000D2491" w:rsidRPr="003374BB" w14:paraId="47E37F52" w14:textId="5B2E6BDD" w:rsidTr="007E3E4F">
        <w:trPr>
          <w:trHeight w:val="68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F5E993F" w14:textId="465172C3" w:rsidR="000D2491" w:rsidRPr="003374BB" w:rsidRDefault="000D2491" w:rsidP="000D2491">
            <w:pPr>
              <w:spacing w:before="40" w:after="40"/>
              <w:rPr>
                <w:rFonts w:eastAsia="Times New Roman" w:cs="Arial"/>
                <w:color w:val="000000"/>
                <w:sz w:val="20"/>
                <w:szCs w:val="20"/>
                <w:lang w:eastAsia="en-GB"/>
              </w:rPr>
            </w:pPr>
            <w:hyperlink r:id="rId28" w:history="1">
              <w:r w:rsidRPr="007E3E4F">
                <w:rPr>
                  <w:rStyle w:val="Hyperlink"/>
                  <w:rFonts w:eastAsia="Times New Roman" w:cs="Arial"/>
                  <w:sz w:val="20"/>
                  <w:szCs w:val="20"/>
                  <w:lang w:eastAsia="en-GB"/>
                </w:rPr>
                <w:t>Index-Linked</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29CFD8"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0.76</w:t>
            </w:r>
          </w:p>
        </w:tc>
        <w:tc>
          <w:tcPr>
            <w:tcW w:w="1134" w:type="dxa"/>
            <w:tcBorders>
              <w:top w:val="nil"/>
              <w:left w:val="single" w:sz="4" w:space="0" w:color="auto"/>
              <w:bottom w:val="nil"/>
              <w:right w:val="single" w:sz="4" w:space="0" w:color="auto"/>
            </w:tcBorders>
          </w:tcPr>
          <w:p w14:paraId="358053C9"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14:paraId="773BEAE1" w14:textId="55A852E1"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All Stocks UK Index-Linked Gilt Index</w:t>
            </w:r>
          </w:p>
        </w:tc>
        <w:tc>
          <w:tcPr>
            <w:tcW w:w="1134" w:type="dxa"/>
            <w:tcBorders>
              <w:top w:val="single" w:sz="4" w:space="0" w:color="auto"/>
              <w:left w:val="single" w:sz="4" w:space="0" w:color="auto"/>
              <w:bottom w:val="single" w:sz="4" w:space="0" w:color="auto"/>
              <w:right w:val="single" w:sz="4" w:space="0" w:color="auto"/>
            </w:tcBorders>
            <w:vAlign w:val="center"/>
          </w:tcPr>
          <w:p w14:paraId="64324491" w14:textId="6F24EAA2"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1EECD1BB" w14:textId="764A4228" w:rsidR="000D2491" w:rsidRPr="003374BB" w:rsidRDefault="000D2491" w:rsidP="000D2491">
            <w:pPr>
              <w:spacing w:before="40" w:after="40"/>
              <w:rPr>
                <w:rFonts w:eastAsia="Times New Roman" w:cs="Arial"/>
                <w:color w:val="000000"/>
                <w:sz w:val="20"/>
                <w:szCs w:val="20"/>
                <w:lang w:eastAsia="en-GB"/>
              </w:rPr>
            </w:pPr>
            <w:hyperlink r:id="rId29" w:history="1">
              <w:r w:rsidRPr="003374BB">
                <w:rPr>
                  <w:rStyle w:val="Hyperlink"/>
                  <w:rFonts w:ascii="Calibri" w:hAnsi="Calibri" w:cs="Calibri"/>
                  <w:sz w:val="20"/>
                  <w:szCs w:val="20"/>
                </w:rPr>
                <w:t>www.aegon.co.uk/content/dam/ukpaw/documents/Standard_B7MLVW8.pdf</w:t>
              </w:r>
            </w:hyperlink>
            <w:r w:rsidRPr="003374BB">
              <w:rPr>
                <w:rStyle w:val="Hyperlink"/>
                <w:rFonts w:ascii="Calibri" w:hAnsi="Calibri" w:cs="Calibri"/>
                <w:sz w:val="20"/>
                <w:szCs w:val="20"/>
              </w:rPr>
              <w:t xml:space="preserve"> </w:t>
            </w:r>
          </w:p>
        </w:tc>
      </w:tr>
      <w:tr w:rsidR="000D2491" w:rsidRPr="003374BB" w14:paraId="3F8DC835" w14:textId="7E36C19B"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D985131" w14:textId="100C822C" w:rsidR="000D2491" w:rsidRPr="003374BB" w:rsidRDefault="000D2491" w:rsidP="000D2491">
            <w:pPr>
              <w:spacing w:before="40" w:after="40"/>
              <w:rPr>
                <w:rFonts w:eastAsia="Times New Roman" w:cs="Arial"/>
                <w:color w:val="000000"/>
                <w:sz w:val="20"/>
                <w:szCs w:val="20"/>
                <w:lang w:eastAsia="en-GB"/>
              </w:rPr>
            </w:pPr>
            <w:hyperlink r:id="rId30" w:history="1">
              <w:r w:rsidRPr="007E3E4F">
                <w:rPr>
                  <w:rStyle w:val="Hyperlink"/>
                  <w:rFonts w:eastAsia="Times New Roman" w:cs="Arial"/>
                  <w:sz w:val="20"/>
                  <w:szCs w:val="20"/>
                  <w:lang w:eastAsia="en-GB"/>
                </w:rPr>
                <w:t>Cash</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6FADED"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0.55</w:t>
            </w:r>
          </w:p>
        </w:tc>
        <w:tc>
          <w:tcPr>
            <w:tcW w:w="1134" w:type="dxa"/>
            <w:tcBorders>
              <w:top w:val="nil"/>
              <w:left w:val="single" w:sz="4" w:space="0" w:color="auto"/>
              <w:bottom w:val="nil"/>
              <w:right w:val="single" w:sz="4" w:space="0" w:color="auto"/>
            </w:tcBorders>
          </w:tcPr>
          <w:p w14:paraId="0609B374" w14:textId="77777777" w:rsidR="000D2491" w:rsidRPr="003374BB" w:rsidRDefault="000D2491" w:rsidP="000D2491">
            <w:pPr>
              <w:spacing w:before="40" w:after="40"/>
              <w:rPr>
                <w:rFonts w:ascii="Calibri" w:hAnsi="Calibri" w:cs="Calibri"/>
                <w:color w:val="000000"/>
                <w:sz w:val="20"/>
                <w:szCs w:val="20"/>
              </w:rPr>
            </w:pPr>
          </w:p>
        </w:tc>
        <w:tc>
          <w:tcPr>
            <w:tcW w:w="1597" w:type="dxa"/>
            <w:tcBorders>
              <w:top w:val="single" w:sz="4" w:space="0" w:color="auto"/>
              <w:left w:val="single" w:sz="4" w:space="0" w:color="auto"/>
              <w:bottom w:val="single" w:sz="4" w:space="0" w:color="auto"/>
              <w:right w:val="single" w:sz="4" w:space="0" w:color="auto"/>
            </w:tcBorders>
          </w:tcPr>
          <w:p w14:paraId="5AAFDDD4" w14:textId="171B1BE4" w:rsidR="000D2491" w:rsidRPr="003374BB" w:rsidRDefault="000D2491" w:rsidP="000D2491">
            <w:pPr>
              <w:spacing w:before="40" w:after="40"/>
              <w:rPr>
                <w:rFonts w:eastAsia="Times New Roman" w:cs="Arial"/>
                <w:color w:val="000000"/>
                <w:sz w:val="20"/>
                <w:szCs w:val="20"/>
                <w:lang w:eastAsia="en-GB"/>
              </w:rPr>
            </w:pPr>
            <w:r w:rsidRPr="003374BB">
              <w:rPr>
                <w:rFonts w:ascii="Calibri" w:hAnsi="Calibri" w:cs="Calibri"/>
                <w:color w:val="000000"/>
                <w:sz w:val="20"/>
                <w:szCs w:val="20"/>
              </w:rPr>
              <w:t>BlackRock Cash</w:t>
            </w:r>
          </w:p>
        </w:tc>
        <w:tc>
          <w:tcPr>
            <w:tcW w:w="1134" w:type="dxa"/>
            <w:tcBorders>
              <w:top w:val="single" w:sz="4" w:space="0" w:color="auto"/>
              <w:left w:val="single" w:sz="4" w:space="0" w:color="auto"/>
              <w:bottom w:val="single" w:sz="4" w:space="0" w:color="auto"/>
              <w:right w:val="single" w:sz="4" w:space="0" w:color="auto"/>
            </w:tcBorders>
          </w:tcPr>
          <w:p w14:paraId="1C456246" w14:textId="343E10DF" w:rsidR="000D2491" w:rsidRPr="003374BB" w:rsidRDefault="000D2491" w:rsidP="000D2491">
            <w:pPr>
              <w:spacing w:before="40" w:after="40"/>
              <w:jc w:val="center"/>
              <w:rPr>
                <w:rFonts w:eastAsia="Times New Roman" w:cs="Arial"/>
                <w:color w:val="000000"/>
                <w:sz w:val="20"/>
                <w:szCs w:val="20"/>
                <w:lang w:eastAsia="en-GB"/>
              </w:rPr>
            </w:pPr>
            <w:r w:rsidRPr="003374BB">
              <w:rPr>
                <w:rFonts w:ascii="Calibri" w:hAnsi="Calibri" w:cs="Calibri"/>
                <w:color w:val="000000"/>
                <w:sz w:val="20"/>
                <w:szCs w:val="20"/>
              </w:rPr>
              <w:t>0.25</w:t>
            </w:r>
          </w:p>
        </w:tc>
        <w:tc>
          <w:tcPr>
            <w:tcW w:w="3506" w:type="dxa"/>
            <w:tcBorders>
              <w:top w:val="single" w:sz="4" w:space="0" w:color="auto"/>
              <w:left w:val="single" w:sz="4" w:space="0" w:color="auto"/>
              <w:bottom w:val="single" w:sz="4" w:space="0" w:color="auto"/>
              <w:right w:val="single" w:sz="4" w:space="0" w:color="auto"/>
            </w:tcBorders>
          </w:tcPr>
          <w:p w14:paraId="15AE4CE0" w14:textId="4C1A0FFB" w:rsidR="000D2491" w:rsidRPr="003374BB" w:rsidRDefault="000D2491" w:rsidP="000D2491">
            <w:pPr>
              <w:spacing w:after="4" w:line="251" w:lineRule="auto"/>
              <w:rPr>
                <w:rFonts w:eastAsia="Times New Roman" w:cs="Arial"/>
                <w:color w:val="000000"/>
                <w:sz w:val="20"/>
                <w:szCs w:val="20"/>
                <w:lang w:eastAsia="en-GB"/>
              </w:rPr>
            </w:pPr>
            <w:hyperlink r:id="rId31" w:history="1">
              <w:r w:rsidRPr="003374BB">
                <w:rPr>
                  <w:rStyle w:val="Hyperlink"/>
                  <w:rFonts w:ascii="Calibri" w:hAnsi="Calibri" w:cs="Calibri"/>
                  <w:sz w:val="20"/>
                  <w:szCs w:val="20"/>
                </w:rPr>
                <w:t>www.aegon.co.uk/content/dam/ukpaw/documents/Standard_0576169.pdf</w:t>
              </w:r>
            </w:hyperlink>
            <w:r w:rsidRPr="003374BB">
              <w:rPr>
                <w:rStyle w:val="Hyperlink"/>
                <w:rFonts w:ascii="Calibri" w:hAnsi="Calibri" w:cs="Calibri"/>
                <w:sz w:val="20"/>
                <w:szCs w:val="20"/>
              </w:rPr>
              <w:t xml:space="preserve"> </w:t>
            </w:r>
          </w:p>
        </w:tc>
      </w:tr>
      <w:tr w:rsidR="000D2491" w:rsidRPr="003374BB" w14:paraId="61FF3B0E" w14:textId="5AC7E0B3" w:rsidTr="007E3E4F">
        <w:trPr>
          <w:trHeight w:val="293"/>
        </w:trPr>
        <w:tc>
          <w:tcPr>
            <w:tcW w:w="1418" w:type="dxa"/>
            <w:tcBorders>
              <w:top w:val="single" w:sz="4" w:space="0" w:color="auto"/>
              <w:left w:val="single" w:sz="4" w:space="0" w:color="auto"/>
              <w:bottom w:val="single" w:sz="4" w:space="0" w:color="auto"/>
              <w:right w:val="single" w:sz="4" w:space="0" w:color="auto"/>
            </w:tcBorders>
            <w:noWrap/>
            <w:vAlign w:val="center"/>
          </w:tcPr>
          <w:p w14:paraId="3D467DCF" w14:textId="561A12BF" w:rsidR="000D2491" w:rsidRPr="003374BB" w:rsidRDefault="000D2491" w:rsidP="000D2491">
            <w:pPr>
              <w:spacing w:before="40" w:after="40"/>
              <w:rPr>
                <w:rFonts w:eastAsia="Times New Roman" w:cs="Arial"/>
                <w:color w:val="000000"/>
                <w:sz w:val="20"/>
                <w:szCs w:val="20"/>
                <w:lang w:eastAsia="en-GB"/>
              </w:rPr>
            </w:pPr>
            <w:hyperlink r:id="rId32" w:history="1">
              <w:r w:rsidRPr="007E3E4F">
                <w:rPr>
                  <w:rStyle w:val="Hyperlink"/>
                  <w:rFonts w:eastAsia="Times New Roman" w:cs="Arial"/>
                  <w:sz w:val="20"/>
                  <w:szCs w:val="20"/>
                  <w:lang w:eastAsia="en-GB"/>
                </w:rPr>
                <w:t>Deposit</w:t>
              </w:r>
            </w:hyperlink>
            <w:r w:rsidR="003374BB" w:rsidRPr="003374BB">
              <w:rPr>
                <w:rFonts w:eastAsia="Times New Roman" w:cs="Arial"/>
                <w:color w:val="000000"/>
                <w:sz w:val="20"/>
                <w:szCs w:val="20"/>
                <w:vertAlign w:val="superscript"/>
                <w:lang w:eastAsia="en-GB"/>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54553EE5" w14:textId="77777777" w:rsidR="000D2491" w:rsidRPr="003374BB" w:rsidRDefault="000D2491" w:rsidP="000D2491">
            <w:pPr>
              <w:spacing w:before="40" w:after="40"/>
              <w:jc w:val="center"/>
              <w:rPr>
                <w:rFonts w:eastAsia="Times New Roman" w:cs="Arial"/>
                <w:color w:val="000000"/>
                <w:sz w:val="20"/>
                <w:szCs w:val="20"/>
                <w:lang w:eastAsia="en-GB"/>
              </w:rPr>
            </w:pPr>
            <w:r w:rsidRPr="003374BB">
              <w:rPr>
                <w:rFonts w:eastAsia="Times New Roman" w:cs="Arial"/>
                <w:color w:val="000000"/>
                <w:sz w:val="20"/>
                <w:szCs w:val="20"/>
                <w:lang w:eastAsia="en-GB"/>
              </w:rPr>
              <w:t xml:space="preserve">Not applicable </w:t>
            </w:r>
          </w:p>
        </w:tc>
        <w:tc>
          <w:tcPr>
            <w:tcW w:w="1134" w:type="dxa"/>
            <w:tcBorders>
              <w:top w:val="nil"/>
              <w:left w:val="single" w:sz="4" w:space="0" w:color="auto"/>
              <w:bottom w:val="nil"/>
              <w:right w:val="nil"/>
            </w:tcBorders>
          </w:tcPr>
          <w:p w14:paraId="5E202026" w14:textId="77777777" w:rsidR="000D2491" w:rsidRPr="003374BB" w:rsidRDefault="000D2491" w:rsidP="000D2491">
            <w:pPr>
              <w:spacing w:before="40" w:after="40"/>
              <w:rPr>
                <w:rFonts w:eastAsia="Times New Roman" w:cs="Arial"/>
                <w:color w:val="000000"/>
                <w:sz w:val="20"/>
                <w:szCs w:val="20"/>
                <w:lang w:eastAsia="en-GB"/>
              </w:rPr>
            </w:pPr>
          </w:p>
        </w:tc>
        <w:tc>
          <w:tcPr>
            <w:tcW w:w="1597" w:type="dxa"/>
            <w:tcBorders>
              <w:top w:val="single" w:sz="4" w:space="0" w:color="auto"/>
              <w:left w:val="nil"/>
              <w:bottom w:val="nil"/>
              <w:right w:val="nil"/>
            </w:tcBorders>
          </w:tcPr>
          <w:p w14:paraId="0BAC3957" w14:textId="3D361067" w:rsidR="000D2491" w:rsidRPr="003374BB" w:rsidRDefault="000D2491" w:rsidP="000D2491">
            <w:pPr>
              <w:spacing w:before="40" w:after="40"/>
              <w:rPr>
                <w:rFonts w:eastAsia="Times New Roman" w:cs="Arial"/>
                <w:color w:val="000000"/>
                <w:sz w:val="20"/>
                <w:szCs w:val="20"/>
                <w:lang w:eastAsia="en-GB"/>
              </w:rPr>
            </w:pPr>
          </w:p>
        </w:tc>
        <w:tc>
          <w:tcPr>
            <w:tcW w:w="1134" w:type="dxa"/>
            <w:tcBorders>
              <w:top w:val="single" w:sz="4" w:space="0" w:color="auto"/>
              <w:left w:val="nil"/>
              <w:bottom w:val="nil"/>
              <w:right w:val="nil"/>
            </w:tcBorders>
          </w:tcPr>
          <w:p w14:paraId="70981508" w14:textId="27DE0681" w:rsidR="000D2491" w:rsidRPr="003374BB" w:rsidRDefault="000D2491" w:rsidP="000D2491">
            <w:pPr>
              <w:spacing w:before="40" w:after="40"/>
              <w:jc w:val="center"/>
              <w:rPr>
                <w:rFonts w:eastAsia="Times New Roman" w:cs="Arial"/>
                <w:color w:val="000000"/>
                <w:sz w:val="20"/>
                <w:szCs w:val="20"/>
                <w:lang w:eastAsia="en-GB"/>
              </w:rPr>
            </w:pPr>
          </w:p>
        </w:tc>
        <w:tc>
          <w:tcPr>
            <w:tcW w:w="3506" w:type="dxa"/>
            <w:tcBorders>
              <w:top w:val="single" w:sz="4" w:space="0" w:color="auto"/>
              <w:left w:val="nil"/>
              <w:bottom w:val="nil"/>
              <w:right w:val="nil"/>
            </w:tcBorders>
          </w:tcPr>
          <w:p w14:paraId="41041D20" w14:textId="2CD7DF23" w:rsidR="000D2491" w:rsidRPr="003374BB" w:rsidRDefault="000D2491" w:rsidP="000D2491">
            <w:pPr>
              <w:spacing w:before="40" w:after="40"/>
              <w:jc w:val="center"/>
              <w:rPr>
                <w:rFonts w:eastAsia="Times New Roman" w:cs="Arial"/>
                <w:color w:val="000000"/>
                <w:sz w:val="20"/>
                <w:szCs w:val="20"/>
                <w:lang w:eastAsia="en-GB"/>
              </w:rPr>
            </w:pPr>
          </w:p>
        </w:tc>
      </w:tr>
    </w:tbl>
    <w:p w14:paraId="178981D9" w14:textId="77777777" w:rsidR="00893D90" w:rsidRPr="00D209A7" w:rsidRDefault="00893D90" w:rsidP="00893D90">
      <w:pPr>
        <w:spacing w:before="60" w:after="120"/>
        <w:rPr>
          <w:rFonts w:cs="Arial"/>
          <w:sz w:val="16"/>
          <w:szCs w:val="16"/>
        </w:rPr>
      </w:pPr>
      <w:r w:rsidRPr="002C7D0E">
        <w:rPr>
          <w:rFonts w:cs="Arial"/>
          <w:sz w:val="16"/>
          <w:szCs w:val="16"/>
        </w:rPr>
        <w:t xml:space="preserve">Source: </w:t>
      </w:r>
      <w:r>
        <w:rPr>
          <w:rFonts w:cs="Arial"/>
          <w:sz w:val="16"/>
          <w:szCs w:val="16"/>
        </w:rPr>
        <w:t>Prudential and Aegon</w:t>
      </w:r>
    </w:p>
    <w:p w14:paraId="11471BAE" w14:textId="77777777" w:rsidR="00893D90" w:rsidRDefault="00893D90" w:rsidP="00893D90">
      <w:pPr>
        <w:spacing w:before="60" w:after="120"/>
        <w:rPr>
          <w:i/>
          <w:iCs/>
        </w:rPr>
      </w:pPr>
      <w:r>
        <w:rPr>
          <w:rFonts w:ascii="Arial Bold" w:eastAsia="Times New Roman" w:hAnsi="Arial Bold" w:cs="Arial"/>
          <w:b/>
          <w:bCs/>
          <w:color w:val="000000"/>
          <w:sz w:val="18"/>
          <w:szCs w:val="18"/>
          <w:vertAlign w:val="superscript"/>
          <w:lang w:eastAsia="en-GB"/>
        </w:rPr>
        <w:lastRenderedPageBreak/>
        <w:t>1</w:t>
      </w:r>
      <w:r w:rsidRPr="00A13C7F">
        <w:rPr>
          <w:i/>
          <w:iCs/>
        </w:rPr>
        <w:t xml:space="preserve">This is the current total annual charge </w:t>
      </w:r>
      <w:proofErr w:type="gramStart"/>
      <w:r w:rsidRPr="00A13C7F">
        <w:rPr>
          <w:i/>
          <w:iCs/>
        </w:rPr>
        <w:t>comprised</w:t>
      </w:r>
      <w:proofErr w:type="gramEnd"/>
      <w:r w:rsidRPr="00A13C7F">
        <w:rPr>
          <w:i/>
          <w:iCs/>
        </w:rPr>
        <w:t xml:space="preserve"> of the annual management charge and </w:t>
      </w:r>
      <w:proofErr w:type="gramStart"/>
      <w:r w:rsidRPr="00A13C7F">
        <w:rPr>
          <w:i/>
          <w:iCs/>
        </w:rPr>
        <w:t>additional</w:t>
      </w:r>
      <w:proofErr w:type="gramEnd"/>
      <w:r w:rsidRPr="00A13C7F">
        <w:rPr>
          <w:i/>
          <w:iCs/>
        </w:rPr>
        <w:t xml:space="preserve"> expenses. </w:t>
      </w:r>
    </w:p>
    <w:p w14:paraId="6FFD9E60" w14:textId="77777777" w:rsidR="00893D90" w:rsidRDefault="00893D90" w:rsidP="00893D90">
      <w:pPr>
        <w:spacing w:before="60" w:after="120"/>
        <w:rPr>
          <w:i/>
          <w:iCs/>
        </w:rPr>
      </w:pPr>
      <w:r>
        <w:rPr>
          <w:rFonts w:ascii="Arial Bold" w:eastAsia="Times New Roman" w:hAnsi="Arial Bold" w:cs="Arial"/>
          <w:b/>
          <w:bCs/>
          <w:color w:val="000000"/>
          <w:sz w:val="18"/>
          <w:szCs w:val="18"/>
          <w:vertAlign w:val="superscript"/>
          <w:lang w:eastAsia="en-GB"/>
        </w:rPr>
        <w:t>2</w:t>
      </w:r>
      <w:r>
        <w:rPr>
          <w:i/>
          <w:iCs/>
        </w:rPr>
        <w:t xml:space="preserve">The charges on the Prudential </w:t>
      </w:r>
      <w:proofErr w:type="gramStart"/>
      <w:r>
        <w:rPr>
          <w:i/>
          <w:iCs/>
        </w:rPr>
        <w:t>With</w:t>
      </w:r>
      <w:proofErr w:type="gramEnd"/>
      <w:r>
        <w:rPr>
          <w:i/>
          <w:iCs/>
        </w:rPr>
        <w:t xml:space="preserve"> Profits Fund are not explicit, the charges shown above are an estimate provided by Prudential</w:t>
      </w:r>
      <w:r w:rsidRPr="00A13C7F">
        <w:rPr>
          <w:i/>
          <w:iCs/>
        </w:rPr>
        <w:t>.</w:t>
      </w:r>
    </w:p>
    <w:p w14:paraId="6FB1C39B" w14:textId="6E2602B3" w:rsidR="00893D90" w:rsidRDefault="00893D90" w:rsidP="00893D90">
      <w:pPr>
        <w:spacing w:before="60" w:after="120"/>
        <w:rPr>
          <w:i/>
          <w:iCs/>
        </w:rPr>
      </w:pPr>
      <w:r>
        <w:rPr>
          <w:rFonts w:ascii="Arial Bold" w:eastAsia="Times New Roman" w:hAnsi="Arial Bold" w:cs="Arial"/>
          <w:b/>
          <w:bCs/>
          <w:color w:val="000000"/>
          <w:sz w:val="18"/>
          <w:szCs w:val="18"/>
          <w:vertAlign w:val="superscript"/>
          <w:lang w:eastAsia="en-GB"/>
        </w:rPr>
        <w:t>3</w:t>
      </w:r>
      <w:r w:rsidRPr="00A13C7F">
        <w:rPr>
          <w:i/>
          <w:iCs/>
        </w:rPr>
        <w:t xml:space="preserve">For the Prudential lifestyle strategies, charges vary according to your term to retirement. </w:t>
      </w:r>
    </w:p>
    <w:p w14:paraId="41BCBF60" w14:textId="3D0D9313" w:rsidR="00893D90" w:rsidRDefault="003374BB" w:rsidP="00893D90">
      <w:pPr>
        <w:spacing w:before="60" w:after="120"/>
        <w:rPr>
          <w:rFonts w:cs="Arial"/>
          <w:i/>
          <w:iCs/>
        </w:rPr>
      </w:pPr>
      <w:r>
        <w:rPr>
          <w:rFonts w:eastAsia="Times New Roman" w:cs="Arial"/>
          <w:color w:val="000000"/>
          <w:sz w:val="18"/>
          <w:szCs w:val="18"/>
          <w:vertAlign w:val="superscript"/>
          <w:lang w:eastAsia="en-GB"/>
        </w:rPr>
        <w:t>4</w:t>
      </w:r>
      <w:r w:rsidR="00893D90">
        <w:rPr>
          <w:rFonts w:cs="Arial"/>
          <w:i/>
          <w:iCs/>
        </w:rPr>
        <w:t>The Deposit Fund is not subject to any charges.</w:t>
      </w:r>
    </w:p>
    <w:p w14:paraId="72D5925E" w14:textId="77777777" w:rsidR="002057E9" w:rsidRPr="00217742" w:rsidRDefault="002057E9" w:rsidP="002057E9">
      <w:pPr>
        <w:pStyle w:val="NormalWeb"/>
        <w:rPr>
          <w:rFonts w:ascii="Calibri" w:hAnsi="Calibri" w:cs="Calibri"/>
          <w:color w:val="000000"/>
          <w:sz w:val="22"/>
          <w:szCs w:val="22"/>
        </w:rPr>
      </w:pPr>
      <w:r w:rsidRPr="00217742">
        <w:rPr>
          <w:rFonts w:ascii="Calibri" w:hAnsi="Calibri" w:cs="Calibri"/>
          <w:color w:val="000000"/>
          <w:sz w:val="22"/>
          <w:szCs w:val="22"/>
        </w:rPr>
        <w:t>The BlackRock Lifepath funds are ‘target date’</w:t>
      </w:r>
      <w:r>
        <w:rPr>
          <w:rFonts w:ascii="Calibri" w:hAnsi="Calibri" w:cs="Calibri"/>
          <w:color w:val="000000"/>
          <w:sz w:val="22"/>
          <w:szCs w:val="22"/>
        </w:rPr>
        <w:t>/Lifestyle</w:t>
      </w:r>
      <w:r w:rsidRPr="00217742">
        <w:rPr>
          <w:rFonts w:ascii="Calibri" w:hAnsi="Calibri" w:cs="Calibri"/>
          <w:color w:val="000000"/>
          <w:sz w:val="22"/>
          <w:szCs w:val="22"/>
        </w:rPr>
        <w:t xml:space="preserve"> funds, they automatically change the investment risk your pension savings are exposed to depending upon the length of time you have until your selected retirement date. </w:t>
      </w:r>
    </w:p>
    <w:p w14:paraId="065D03BB" w14:textId="48776BAB" w:rsidR="002057E9" w:rsidRPr="00217742" w:rsidRDefault="002057E9" w:rsidP="002057E9">
      <w:pPr>
        <w:pStyle w:val="NormalWeb"/>
        <w:rPr>
          <w:rFonts w:ascii="Calibri" w:hAnsi="Calibri" w:cs="Calibri"/>
          <w:color w:val="000000"/>
          <w:sz w:val="22"/>
          <w:szCs w:val="22"/>
        </w:rPr>
      </w:pPr>
      <w:r w:rsidRPr="00217742">
        <w:rPr>
          <w:rFonts w:ascii="Calibri" w:hAnsi="Calibri" w:cs="Calibri"/>
          <w:color w:val="000000"/>
          <w:sz w:val="22"/>
          <w:szCs w:val="22"/>
        </w:rPr>
        <w:t xml:space="preserve">Each target date fund has a target retirement period covering 2 years and the at retirement asset allocation reflects the format in which benefits are expected to be taken (e.g. Capital for cash, Retirement for annuity and Flexi for income drawdown).  See the below </w:t>
      </w:r>
      <w:proofErr w:type="spellStart"/>
      <w:r w:rsidRPr="00217742">
        <w:rPr>
          <w:rFonts w:ascii="Calibri" w:hAnsi="Calibri" w:cs="Calibri"/>
          <w:color w:val="000000"/>
          <w:sz w:val="22"/>
          <w:szCs w:val="22"/>
        </w:rPr>
        <w:t>LifePath</w:t>
      </w:r>
      <w:proofErr w:type="spellEnd"/>
      <w:r w:rsidRPr="00217742">
        <w:rPr>
          <w:rFonts w:ascii="Calibri" w:hAnsi="Calibri" w:cs="Calibri"/>
          <w:color w:val="000000"/>
          <w:sz w:val="22"/>
          <w:szCs w:val="22"/>
        </w:rPr>
        <w:t xml:space="preserve"> fund graphs</w:t>
      </w:r>
      <w:r w:rsidR="00BC7CDD">
        <w:rPr>
          <w:rFonts w:ascii="Calibri" w:hAnsi="Calibri" w:cs="Calibri"/>
          <w:color w:val="000000"/>
          <w:sz w:val="22"/>
          <w:szCs w:val="22"/>
        </w:rPr>
        <w:t>.</w:t>
      </w:r>
    </w:p>
    <w:p w14:paraId="3964DFD8" w14:textId="77777777" w:rsidR="002057E9" w:rsidRPr="00217742" w:rsidRDefault="002057E9" w:rsidP="002057E9">
      <w:pPr>
        <w:spacing w:after="120"/>
        <w:rPr>
          <w:rFonts w:ascii="Calibri" w:hAnsi="Calibri" w:cs="Calibri"/>
          <w:u w:val="single"/>
        </w:rPr>
      </w:pPr>
      <w:proofErr w:type="spellStart"/>
      <w:r w:rsidRPr="00217742">
        <w:rPr>
          <w:rFonts w:ascii="Calibri" w:hAnsi="Calibri" w:cs="Calibri"/>
          <w:u w:val="single"/>
        </w:rPr>
        <w:t>LifePath</w:t>
      </w:r>
      <w:proofErr w:type="spellEnd"/>
      <w:r w:rsidRPr="00217742">
        <w:rPr>
          <w:rFonts w:ascii="Calibri" w:hAnsi="Calibri" w:cs="Calibri"/>
          <w:u w:val="single"/>
        </w:rPr>
        <w:t xml:space="preserve"> Capital (Cash) – Default </w:t>
      </w:r>
      <w:proofErr w:type="gramStart"/>
      <w:r w:rsidRPr="00217742">
        <w:rPr>
          <w:rFonts w:ascii="Calibri" w:hAnsi="Calibri" w:cs="Calibri"/>
          <w:u w:val="single"/>
        </w:rPr>
        <w:t>option</w:t>
      </w:r>
      <w:proofErr w:type="gramEnd"/>
    </w:p>
    <w:p w14:paraId="6DEC432C" w14:textId="26A833AD" w:rsidR="002057E9" w:rsidRPr="00217742" w:rsidRDefault="002057E9" w:rsidP="002057E9">
      <w:pPr>
        <w:spacing w:after="4" w:line="251" w:lineRule="auto"/>
        <w:rPr>
          <w:rFonts w:ascii="Calibri" w:hAnsi="Calibri" w:cs="Calibri"/>
          <w:b/>
          <w:bCs/>
          <w:color w:val="000000"/>
        </w:rPr>
      </w:pPr>
      <w:r w:rsidRPr="00217742">
        <w:rPr>
          <w:rFonts w:ascii="Calibri" w:hAnsi="Calibri" w:cs="Calibri"/>
          <w:noProof/>
        </w:rPr>
        <w:drawing>
          <wp:inline distT="0" distB="0" distL="0" distR="0" wp14:anchorId="3ACC642F" wp14:editId="16BB3335">
            <wp:extent cx="4848225" cy="242887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D9E9CB" w14:textId="77777777" w:rsidR="002057E9" w:rsidRPr="00217742" w:rsidRDefault="002057E9" w:rsidP="002057E9">
      <w:pPr>
        <w:spacing w:after="4" w:line="251" w:lineRule="auto"/>
        <w:rPr>
          <w:rFonts w:ascii="Calibri" w:hAnsi="Calibri" w:cs="Calibri"/>
          <w:u w:val="single"/>
        </w:rPr>
      </w:pPr>
      <w:proofErr w:type="spellStart"/>
      <w:r w:rsidRPr="00217742">
        <w:rPr>
          <w:rFonts w:ascii="Calibri" w:hAnsi="Calibri" w:cs="Calibri"/>
          <w:u w:val="single"/>
        </w:rPr>
        <w:t>LifePath</w:t>
      </w:r>
      <w:proofErr w:type="spellEnd"/>
      <w:r w:rsidRPr="00217742">
        <w:rPr>
          <w:rFonts w:ascii="Calibri" w:hAnsi="Calibri" w:cs="Calibri"/>
          <w:u w:val="single"/>
        </w:rPr>
        <w:t xml:space="preserve"> Retirement (annuity) </w:t>
      </w:r>
    </w:p>
    <w:p w14:paraId="11EADF80" w14:textId="0BCDD56B" w:rsidR="002057E9" w:rsidRPr="00217742" w:rsidRDefault="002057E9" w:rsidP="002057E9">
      <w:pPr>
        <w:spacing w:after="4" w:line="251" w:lineRule="auto"/>
        <w:rPr>
          <w:rFonts w:ascii="Calibri" w:hAnsi="Calibri" w:cs="Calibri"/>
          <w:b/>
          <w:bCs/>
          <w:color w:val="000000"/>
        </w:rPr>
      </w:pPr>
      <w:r w:rsidRPr="00217742">
        <w:rPr>
          <w:rFonts w:ascii="Calibri" w:hAnsi="Calibri" w:cs="Calibri"/>
          <w:noProof/>
        </w:rPr>
        <w:drawing>
          <wp:inline distT="0" distB="0" distL="0" distR="0" wp14:anchorId="4E2C3D2F" wp14:editId="1FBF5FE0">
            <wp:extent cx="4886325" cy="25431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16C7FF" w14:textId="77777777" w:rsidR="002057E9" w:rsidRDefault="002057E9" w:rsidP="002057E9">
      <w:pPr>
        <w:spacing w:after="4" w:line="251" w:lineRule="auto"/>
        <w:rPr>
          <w:rFonts w:ascii="Calibri" w:hAnsi="Calibri" w:cs="Calibri"/>
          <w:u w:val="single"/>
        </w:rPr>
      </w:pPr>
    </w:p>
    <w:p w14:paraId="092FBC23" w14:textId="77777777" w:rsidR="002057E9" w:rsidRDefault="002057E9" w:rsidP="002057E9">
      <w:pPr>
        <w:spacing w:after="4" w:line="251" w:lineRule="auto"/>
        <w:rPr>
          <w:rFonts w:ascii="Calibri" w:hAnsi="Calibri" w:cs="Calibri"/>
          <w:u w:val="single"/>
        </w:rPr>
      </w:pPr>
    </w:p>
    <w:p w14:paraId="5224F6F9" w14:textId="77777777" w:rsidR="002057E9" w:rsidRDefault="002057E9" w:rsidP="002057E9">
      <w:pPr>
        <w:spacing w:after="4" w:line="251" w:lineRule="auto"/>
        <w:rPr>
          <w:rFonts w:ascii="Calibri" w:hAnsi="Calibri" w:cs="Calibri"/>
          <w:u w:val="single"/>
        </w:rPr>
      </w:pPr>
    </w:p>
    <w:p w14:paraId="42728ECC" w14:textId="286A5C55" w:rsidR="00BC7CDD" w:rsidRDefault="00BC7CDD">
      <w:pPr>
        <w:rPr>
          <w:rFonts w:ascii="Calibri" w:hAnsi="Calibri" w:cs="Calibri"/>
          <w:u w:val="single"/>
        </w:rPr>
      </w:pPr>
      <w:r>
        <w:rPr>
          <w:rFonts w:ascii="Calibri" w:hAnsi="Calibri" w:cs="Calibri"/>
          <w:u w:val="single"/>
        </w:rPr>
        <w:br w:type="page"/>
      </w:r>
    </w:p>
    <w:p w14:paraId="13650139" w14:textId="77777777" w:rsidR="002057E9" w:rsidRDefault="002057E9" w:rsidP="002057E9">
      <w:pPr>
        <w:spacing w:after="4" w:line="251" w:lineRule="auto"/>
        <w:rPr>
          <w:rFonts w:ascii="Calibri" w:hAnsi="Calibri" w:cs="Calibri"/>
          <w:u w:val="single"/>
        </w:rPr>
      </w:pPr>
    </w:p>
    <w:p w14:paraId="1C671B8A" w14:textId="77777777" w:rsidR="002057E9" w:rsidRDefault="002057E9" w:rsidP="002057E9">
      <w:pPr>
        <w:spacing w:after="4" w:line="251" w:lineRule="auto"/>
        <w:rPr>
          <w:rFonts w:ascii="Calibri" w:hAnsi="Calibri" w:cs="Calibri"/>
          <w:u w:val="single"/>
        </w:rPr>
      </w:pPr>
    </w:p>
    <w:p w14:paraId="7C56D94A" w14:textId="77777777" w:rsidR="002057E9" w:rsidRDefault="002057E9" w:rsidP="002057E9">
      <w:pPr>
        <w:spacing w:after="4" w:line="251" w:lineRule="auto"/>
        <w:rPr>
          <w:rFonts w:ascii="Calibri" w:hAnsi="Calibri" w:cs="Calibri"/>
          <w:u w:val="single"/>
        </w:rPr>
      </w:pPr>
    </w:p>
    <w:p w14:paraId="7A8CE14D" w14:textId="3A9835DB" w:rsidR="002057E9" w:rsidRPr="00217742" w:rsidRDefault="002057E9" w:rsidP="002057E9">
      <w:pPr>
        <w:spacing w:after="4" w:line="251" w:lineRule="auto"/>
        <w:rPr>
          <w:rFonts w:ascii="Calibri" w:hAnsi="Calibri" w:cs="Calibri"/>
          <w:u w:val="single"/>
        </w:rPr>
      </w:pPr>
      <w:proofErr w:type="spellStart"/>
      <w:r w:rsidRPr="00217742">
        <w:rPr>
          <w:rFonts w:ascii="Calibri" w:hAnsi="Calibri" w:cs="Calibri"/>
          <w:u w:val="single"/>
        </w:rPr>
        <w:t>LifePath</w:t>
      </w:r>
      <w:proofErr w:type="spellEnd"/>
      <w:r w:rsidRPr="00217742">
        <w:rPr>
          <w:rFonts w:ascii="Calibri" w:hAnsi="Calibri" w:cs="Calibri"/>
          <w:u w:val="single"/>
        </w:rPr>
        <w:t xml:space="preserve"> Flexi (drawdown)</w:t>
      </w:r>
    </w:p>
    <w:p w14:paraId="6218ECE8" w14:textId="432A9476" w:rsidR="003374BB" w:rsidRDefault="002057E9" w:rsidP="002057E9">
      <w:pPr>
        <w:rPr>
          <w:b/>
          <w:bCs/>
        </w:rPr>
      </w:pPr>
      <w:r w:rsidRPr="00217742">
        <w:rPr>
          <w:rFonts w:ascii="Calibri" w:hAnsi="Calibri" w:cs="Calibri"/>
          <w:noProof/>
        </w:rPr>
        <w:drawing>
          <wp:inline distT="0" distB="0" distL="0" distR="0" wp14:anchorId="12341350" wp14:editId="0D990A3E">
            <wp:extent cx="4942840" cy="2703195"/>
            <wp:effectExtent l="0" t="0" r="0" b="19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ACBA804" w14:textId="2E6253DB" w:rsidR="003374BB" w:rsidRPr="00217742" w:rsidRDefault="00B53313" w:rsidP="003374BB">
      <w:pPr>
        <w:rPr>
          <w:rFonts w:ascii="Calibri" w:hAnsi="Calibri" w:cs="Calibri"/>
          <w:b/>
          <w:bCs/>
          <w:lang w:eastAsia="en-GB"/>
        </w:rPr>
      </w:pPr>
      <w:r>
        <w:rPr>
          <w:b/>
          <w:bCs/>
        </w:rPr>
        <w:t xml:space="preserve">Prudential </w:t>
      </w:r>
      <w:r w:rsidRPr="00217742">
        <w:rPr>
          <w:rFonts w:ascii="Calibri" w:hAnsi="Calibri" w:cs="Calibri"/>
          <w:b/>
          <w:bCs/>
          <w:lang w:eastAsia="en-GB"/>
        </w:rPr>
        <w:t>website</w:t>
      </w:r>
      <w:r w:rsidR="003374BB">
        <w:rPr>
          <w:rFonts w:ascii="Calibri" w:hAnsi="Calibri" w:cs="Calibri"/>
          <w:b/>
          <w:bCs/>
          <w:lang w:eastAsia="en-GB"/>
        </w:rPr>
        <w:t>:</w:t>
      </w:r>
    </w:p>
    <w:p w14:paraId="41F95E38" w14:textId="77777777" w:rsidR="003374BB" w:rsidRPr="00217742" w:rsidRDefault="003374BB" w:rsidP="003374BB">
      <w:pPr>
        <w:pStyle w:val="Text"/>
        <w:spacing w:after="0"/>
        <w:rPr>
          <w:rFonts w:ascii="Calibri" w:hAnsi="Calibri" w:cs="Calibri"/>
          <w:b/>
          <w:bCs/>
          <w:szCs w:val="22"/>
          <w:lang w:eastAsia="en-GB"/>
        </w:rPr>
      </w:pPr>
    </w:p>
    <w:bookmarkStart w:id="0" w:name="_Hlk91858231"/>
    <w:p w14:paraId="16A07019" w14:textId="77777777" w:rsidR="003374BB" w:rsidRPr="00217742" w:rsidRDefault="003374BB" w:rsidP="003374BB">
      <w:pPr>
        <w:numPr>
          <w:ilvl w:val="0"/>
          <w:numId w:val="1"/>
        </w:numPr>
        <w:spacing w:after="0" w:line="240" w:lineRule="auto"/>
        <w:jc w:val="both"/>
        <w:rPr>
          <w:rFonts w:ascii="Calibri" w:hAnsi="Calibri" w:cs="Calibri"/>
        </w:rPr>
      </w:pPr>
      <w:r w:rsidRPr="00217742">
        <w:rPr>
          <w:rFonts w:ascii="Calibri" w:hAnsi="Calibri" w:cs="Calibri"/>
        </w:rPr>
        <w:fldChar w:fldCharType="begin"/>
      </w:r>
      <w:r w:rsidRPr="00217742">
        <w:rPr>
          <w:rFonts w:ascii="Calibri" w:hAnsi="Calibri" w:cs="Calibri"/>
        </w:rPr>
        <w:instrText xml:space="preserve"> HYPERLINK "https://login.pru.co.uk/Login/dialog/customer/Login/EnterUsername" </w:instrText>
      </w:r>
      <w:r w:rsidRPr="00217742">
        <w:rPr>
          <w:rFonts w:ascii="Calibri" w:hAnsi="Calibri" w:cs="Calibri"/>
        </w:rPr>
      </w:r>
      <w:r w:rsidRPr="00217742">
        <w:rPr>
          <w:rFonts w:ascii="Calibri" w:hAnsi="Calibri" w:cs="Calibri"/>
        </w:rPr>
        <w:fldChar w:fldCharType="separate"/>
      </w:r>
      <w:r w:rsidRPr="00217742">
        <w:rPr>
          <w:rStyle w:val="Hyperlink"/>
          <w:rFonts w:ascii="Calibri" w:hAnsi="Calibri" w:cs="Calibri"/>
        </w:rPr>
        <w:t>https://login.pru.co.uk/Login/dialog/customer/Login/EnterUsername</w:t>
      </w:r>
      <w:r w:rsidRPr="00217742">
        <w:rPr>
          <w:rFonts w:ascii="Calibri" w:hAnsi="Calibri" w:cs="Calibri"/>
        </w:rPr>
        <w:fldChar w:fldCharType="end"/>
      </w:r>
      <w:r w:rsidRPr="00217742">
        <w:rPr>
          <w:rFonts w:ascii="Calibri" w:hAnsi="Calibri" w:cs="Calibri"/>
        </w:rPr>
        <w:t xml:space="preserve">  </w:t>
      </w:r>
    </w:p>
    <w:p w14:paraId="23F93C2F" w14:textId="77777777" w:rsidR="003374BB" w:rsidRPr="00217742" w:rsidRDefault="003374BB" w:rsidP="003374BB">
      <w:pPr>
        <w:ind w:left="1080"/>
        <w:jc w:val="both"/>
        <w:rPr>
          <w:rFonts w:ascii="Calibri" w:hAnsi="Calibri" w:cs="Calibri"/>
        </w:rPr>
      </w:pPr>
    </w:p>
    <w:p w14:paraId="2B86AD65" w14:textId="6A054790" w:rsidR="003374BB" w:rsidRPr="00217742" w:rsidRDefault="003374BB" w:rsidP="003374BB">
      <w:pPr>
        <w:numPr>
          <w:ilvl w:val="0"/>
          <w:numId w:val="1"/>
        </w:numPr>
        <w:spacing w:after="0" w:line="240" w:lineRule="auto"/>
        <w:jc w:val="both"/>
        <w:rPr>
          <w:rFonts w:ascii="Calibri" w:hAnsi="Calibri" w:cs="Calibri"/>
        </w:rPr>
      </w:pPr>
      <w:bookmarkStart w:id="1" w:name="_Hlk93912238"/>
      <w:r w:rsidRPr="00217742">
        <w:rPr>
          <w:rFonts w:ascii="Calibri" w:hAnsi="Calibri" w:cs="Calibri"/>
        </w:rPr>
        <w:t>If you haven’t yet registered, click register and complete the registration. You will need the Scheme number which is AF24 to register</w:t>
      </w:r>
      <w:bookmarkStart w:id="2" w:name="_Hlk91858362"/>
      <w:bookmarkEnd w:id="0"/>
      <w:bookmarkEnd w:id="1"/>
      <w:r w:rsidRPr="00217742">
        <w:rPr>
          <w:rFonts w:ascii="Calibri" w:hAnsi="Calibri" w:cs="Calibri"/>
        </w:rPr>
        <w:t>. Once registered you will be able to see your investments</w:t>
      </w:r>
      <w:bookmarkEnd w:id="2"/>
      <w:r>
        <w:rPr>
          <w:rFonts w:ascii="Calibri" w:hAnsi="Calibri" w:cs="Calibri"/>
        </w:rPr>
        <w:t>.</w:t>
      </w:r>
    </w:p>
    <w:p w14:paraId="247DE773" w14:textId="77777777" w:rsidR="003374BB" w:rsidRPr="00893D90" w:rsidRDefault="003374BB" w:rsidP="00893D90">
      <w:pPr>
        <w:rPr>
          <w:b/>
          <w:bCs/>
        </w:rPr>
      </w:pPr>
    </w:p>
    <w:sectPr w:rsidR="003374BB" w:rsidRPr="00893D90" w:rsidSect="007E3E4F">
      <w:pgSz w:w="11906" w:h="16838"/>
      <w:pgMar w:top="113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41588"/>
    <w:multiLevelType w:val="hybridMultilevel"/>
    <w:tmpl w:val="6714CBEC"/>
    <w:lvl w:ilvl="0" w:tplc="08090001">
      <w:start w:val="1"/>
      <w:numFmt w:val="bullet"/>
      <w:lvlText w:val=""/>
      <w:lvlJc w:val="left"/>
      <w:pPr>
        <w:tabs>
          <w:tab w:val="num" w:pos="1080"/>
        </w:tabs>
        <w:ind w:left="1080" w:hanging="360"/>
      </w:pPr>
      <w:rPr>
        <w:rFonts w:ascii="Symbol" w:hAnsi="Symbol" w:hint="default"/>
        <w:sz w:val="1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69402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0"/>
    <w:rsid w:val="000C7640"/>
    <w:rsid w:val="000D2491"/>
    <w:rsid w:val="002057E9"/>
    <w:rsid w:val="003374BB"/>
    <w:rsid w:val="005D786F"/>
    <w:rsid w:val="00685E92"/>
    <w:rsid w:val="007E3E4F"/>
    <w:rsid w:val="00893D90"/>
    <w:rsid w:val="00A04037"/>
    <w:rsid w:val="00B53313"/>
    <w:rsid w:val="00BC7CDD"/>
    <w:rsid w:val="00E243D4"/>
    <w:rsid w:val="00F5497D"/>
    <w:rsid w:val="00FA34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22E"/>
  <w15:chartTrackingRefBased/>
  <w15:docId w15:val="{E697C8F5-F75C-4243-A2D5-02F37038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893D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rsid w:val="00893D90"/>
    <w:rPr>
      <w:color w:val="0000FF"/>
      <w:u w:val="single"/>
    </w:rPr>
  </w:style>
  <w:style w:type="paragraph" w:customStyle="1" w:styleId="Text">
    <w:name w:val="Text"/>
    <w:basedOn w:val="Normal"/>
    <w:uiPriority w:val="99"/>
    <w:rsid w:val="003374BB"/>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rPr>
  </w:style>
  <w:style w:type="character" w:styleId="Strong">
    <w:name w:val="Strong"/>
    <w:uiPriority w:val="22"/>
    <w:qFormat/>
    <w:rsid w:val="003374BB"/>
    <w:rPr>
      <w:b/>
      <w:bCs/>
    </w:rPr>
  </w:style>
  <w:style w:type="paragraph" w:styleId="NormalWeb">
    <w:name w:val="Normal (Web)"/>
    <w:basedOn w:val="Normal"/>
    <w:uiPriority w:val="99"/>
    <w:unhideWhenUsed/>
    <w:rsid w:val="0033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374BB"/>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7E3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gon.co.uk/content/dam/ukpaw/documents/LIFEPATH_BTL26C1.pdf" TargetMode="External"/><Relationship Id="rId18" Type="http://schemas.openxmlformats.org/officeDocument/2006/relationships/hyperlink" Target="https://protect-eu.mimecast.com/s/m1TGC689rsrwoO7S2TYX2?domain=fundslibrary.co.uk" TargetMode="External"/><Relationship Id="rId26" Type="http://schemas.openxmlformats.org/officeDocument/2006/relationships/hyperlink" Target="https://protect-eu.mimecast.com/s/wO8dC73XvcA7mp2SA5NXt?domain=fundslibrary.co.uk" TargetMode="External"/><Relationship Id="rId21" Type="http://schemas.openxmlformats.org/officeDocument/2006/relationships/hyperlink" Target="http://www.aegon.co.uk/content/dam/ukpaw/documents/Standard_B4KZBD2.pdf" TargetMode="External"/><Relationship Id="rId34"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hyperlink" Target="https://www.pru.co.uk/funds/lifestyling/?utm_source=redirect&amp;utm_medium=301&amp;utm_campaign=/lifestyling/" TargetMode="External"/><Relationship Id="rId17" Type="http://schemas.openxmlformats.org/officeDocument/2006/relationships/hyperlink" Target="http://www.aegon.co.uk/content/dam/ukpaw/documents/Standard_B0RXV19.pdf" TargetMode="External"/><Relationship Id="rId25" Type="http://schemas.openxmlformats.org/officeDocument/2006/relationships/hyperlink" Target="http://www.aegon.co.uk/content/dam/ukpaw/documents/Standard_B62DYC8.pdf" TargetMode="External"/><Relationship Id="rId33"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protect-eu.mimecast.com/s/SEgOCZ60ls5BM4ASjPsdR?domain=fundslibrary.co.uk" TargetMode="External"/><Relationship Id="rId20" Type="http://schemas.openxmlformats.org/officeDocument/2006/relationships/hyperlink" Target="https://protect-eu.mimecast.com/s/8aBbC4xLpuBkJ0ETMEIOM?domain=fundslibrary.co.uk" TargetMode="External"/><Relationship Id="rId29" Type="http://schemas.openxmlformats.org/officeDocument/2006/relationships/hyperlink" Target="http://www.aegon.co.uk/content/dam/ukpaw/documents/Standard_B7MLVW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gon.co.uk/content/dam/ukpaw/documents/LIFEPATH_BTL26P4.pdf" TargetMode="External"/><Relationship Id="rId24" Type="http://schemas.openxmlformats.org/officeDocument/2006/relationships/hyperlink" Target="https://protect-eu.mimecast.com/s/eIPnC2kWnSpyklWI2s4XP?domain=fundslibrary.co.uk" TargetMode="External"/><Relationship Id="rId32" Type="http://schemas.openxmlformats.org/officeDocument/2006/relationships/hyperlink" Target="https://www.mandg.com/dam/pru/shared/documents/en/btbq00025a.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egon.co.uk/content/dam/ukpaw/documents/Standard_BRJMD17.pdf" TargetMode="External"/><Relationship Id="rId23" Type="http://schemas.openxmlformats.org/officeDocument/2006/relationships/hyperlink" Target="http://www.aegon.co.uk/content/dam/ukpaw/documents/Standard_BWX54Y7.pdf" TargetMode="External"/><Relationship Id="rId28" Type="http://schemas.openxmlformats.org/officeDocument/2006/relationships/hyperlink" Target="https://protect-eu.mimecast.com/s/CC8QCYE5kHLB31mI0GWnG?domain=fundslibrary.co.uk" TargetMode="External"/><Relationship Id="rId36" Type="http://schemas.openxmlformats.org/officeDocument/2006/relationships/fontTable" Target="fontTable.xml"/><Relationship Id="rId10" Type="http://schemas.openxmlformats.org/officeDocument/2006/relationships/hyperlink" Target="https://www.pru.co.uk/funds/lifestyling/?utm_source=redirect&amp;utm_medium=301&amp;utm_campaign=/lifestyling/" TargetMode="External"/><Relationship Id="rId19" Type="http://schemas.openxmlformats.org/officeDocument/2006/relationships/hyperlink" Target="http://www.aegon.co.uk/content/dam/ukpaw/documents/Standard_BKJ9ZS0.pdf" TargetMode="External"/><Relationship Id="rId31" Type="http://schemas.openxmlformats.org/officeDocument/2006/relationships/hyperlink" Target="http://www.aegon.co.uk/content/dam/ukpaw/documents/Standard_0576169.pdf" TargetMode="External"/><Relationship Id="rId4" Type="http://schemas.openxmlformats.org/officeDocument/2006/relationships/numbering" Target="numbering.xml"/><Relationship Id="rId9" Type="http://schemas.openxmlformats.org/officeDocument/2006/relationships/hyperlink" Target="https://www.aegon.co.uk/content/dam/ukpaw/documents/LIFEPATH_BYZSFD4.pdf" TargetMode="External"/><Relationship Id="rId14" Type="http://schemas.openxmlformats.org/officeDocument/2006/relationships/hyperlink" Target="https://www.pru.co.uk/funds/lifestyling/?utm_source=redirect&amp;utm_medium=301&amp;utm_campaign=/lifestyling/" TargetMode="External"/><Relationship Id="rId22" Type="http://schemas.openxmlformats.org/officeDocument/2006/relationships/hyperlink" Target="https://protect-eu.mimecast.com/s/kYLtC31wospNmAoIQvi0k?domain=fundslibrary.co.uk" TargetMode="External"/><Relationship Id="rId27" Type="http://schemas.openxmlformats.org/officeDocument/2006/relationships/hyperlink" Target="http://www.aegon.co.uk/content/dam/ukpaw/documents/Standard_B4KDR61.pdf" TargetMode="External"/><Relationship Id="rId30" Type="http://schemas.openxmlformats.org/officeDocument/2006/relationships/hyperlink" Target="https://protect-eu.mimecast.com/s/-bvcC1w4mSMWpzxUpMeWv?domain=fundslibrary.co.uk" TargetMode="External"/><Relationship Id="rId35" Type="http://schemas.openxmlformats.org/officeDocument/2006/relationships/chart" Target="charts/chart3.xml"/><Relationship Id="rId8" Type="http://schemas.openxmlformats.org/officeDocument/2006/relationships/hyperlink" Target="https://protect-eu.mimecast.com/s/pz4xC5yLqIZN0j3IN4LIj?domain=pru.co.uk" TargetMode="Externa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bugh3\AppData\Local\Microsoft\Windows\INetCache\Content.Outlook\TYEU47RS\LP%20allocation%20graphs%20310719%20(0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ebugh3\AppData\Local\Microsoft\Windows\INetCache\Content.Outlook\TYEU47RS\LP%20allocation%20graphs%20310719%20(0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bugh3\AppData\Local\Microsoft\Windows\INetCache\Content.Outlook\TYEU47RS\LP%20allocation%20graphs%20310719%20(0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percentStacked"/>
        <c:varyColors val="0"/>
        <c:ser>
          <c:idx val="0"/>
          <c:order val="0"/>
          <c:tx>
            <c:strRef>
              <c:f>Capital!$B$1</c:f>
              <c:strCache>
                <c:ptCount val="1"/>
                <c:pt idx="0">
                  <c:v>Equities</c:v>
                </c:pt>
              </c:strCache>
            </c:strRef>
          </c:tx>
          <c:spPr>
            <a:solidFill>
              <a:srgbClr val="0070C0"/>
            </a:solidFill>
            <a:ln>
              <a:noFill/>
            </a:ln>
            <a:effectLst/>
          </c:spPr>
          <c:cat>
            <c:numRef>
              <c:f>Capital!$A$2:$A$47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Capital!$B$2:$B$47</c:f>
              <c:numCache>
                <c:formatCode>0.00%</c:formatCode>
                <c:ptCount val="46"/>
                <c:pt idx="0">
                  <c:v>0.95101579695682226</c:v>
                </c:pt>
                <c:pt idx="1">
                  <c:v>0.95101579695682226</c:v>
                </c:pt>
                <c:pt idx="2">
                  <c:v>0.95101579695682226</c:v>
                </c:pt>
                <c:pt idx="3">
                  <c:v>0.95101579695682226</c:v>
                </c:pt>
                <c:pt idx="4">
                  <c:v>0.95101579695682226</c:v>
                </c:pt>
                <c:pt idx="5">
                  <c:v>0.95101579695682226</c:v>
                </c:pt>
                <c:pt idx="6">
                  <c:v>0.95101579695682226</c:v>
                </c:pt>
                <c:pt idx="7">
                  <c:v>0.95101579695682226</c:v>
                </c:pt>
                <c:pt idx="8">
                  <c:v>0.95101579695682226</c:v>
                </c:pt>
                <c:pt idx="9">
                  <c:v>0.95101579695682226</c:v>
                </c:pt>
                <c:pt idx="10">
                  <c:v>0.95101579695682226</c:v>
                </c:pt>
                <c:pt idx="11">
                  <c:v>0.95101579695682226</c:v>
                </c:pt>
                <c:pt idx="12">
                  <c:v>0.94782967556259501</c:v>
                </c:pt>
                <c:pt idx="13">
                  <c:v>0.94349491225000304</c:v>
                </c:pt>
                <c:pt idx="14">
                  <c:v>0.9385943992378265</c:v>
                </c:pt>
                <c:pt idx="15">
                  <c:v>0.93147347599368346</c:v>
                </c:pt>
                <c:pt idx="16">
                  <c:v>0.9221104877350591</c:v>
                </c:pt>
                <c:pt idx="17">
                  <c:v>0.91142550177221748</c:v>
                </c:pt>
                <c:pt idx="18">
                  <c:v>0.89858835369178081</c:v>
                </c:pt>
                <c:pt idx="19">
                  <c:v>0.88382688072384508</c:v>
                </c:pt>
                <c:pt idx="20">
                  <c:v>0.86851612345586005</c:v>
                </c:pt>
                <c:pt idx="21">
                  <c:v>0.85125776538409226</c:v>
                </c:pt>
                <c:pt idx="22">
                  <c:v>0.83038274678445623</c:v>
                </c:pt>
                <c:pt idx="23">
                  <c:v>0.80908688209734503</c:v>
                </c:pt>
                <c:pt idx="24">
                  <c:v>0.7877299084692716</c:v>
                </c:pt>
                <c:pt idx="25">
                  <c:v>0.76718814932214674</c:v>
                </c:pt>
                <c:pt idx="26">
                  <c:v>0.74719798473145038</c:v>
                </c:pt>
                <c:pt idx="27">
                  <c:v>0.72736183258298781</c:v>
                </c:pt>
                <c:pt idx="28">
                  <c:v>0.70790167821547223</c:v>
                </c:pt>
                <c:pt idx="29">
                  <c:v>0.6866375823194435</c:v>
                </c:pt>
                <c:pt idx="30">
                  <c:v>0.66512557204560097</c:v>
                </c:pt>
                <c:pt idx="31">
                  <c:v>0.64425486448988778</c:v>
                </c:pt>
                <c:pt idx="32">
                  <c:v>0.62424143415596511</c:v>
                </c:pt>
                <c:pt idx="33">
                  <c:v>0.60504564650512926</c:v>
                </c:pt>
                <c:pt idx="34">
                  <c:v>0.58439392271085622</c:v>
                </c:pt>
                <c:pt idx="35">
                  <c:v>0.56385292026557188</c:v>
                </c:pt>
                <c:pt idx="36">
                  <c:v>0.51606874673795589</c:v>
                </c:pt>
                <c:pt idx="37">
                  <c:v>0.46867735329317284</c:v>
                </c:pt>
                <c:pt idx="38">
                  <c:v>0.42460895051660746</c:v>
                </c:pt>
                <c:pt idx="39">
                  <c:v>0.3825256080813032</c:v>
                </c:pt>
                <c:pt idx="40">
                  <c:v>0.33928925912882019</c:v>
                </c:pt>
                <c:pt idx="41">
                  <c:v>0.29240837635487366</c:v>
                </c:pt>
                <c:pt idx="42">
                  <c:v>0.24069856608572493</c:v>
                </c:pt>
                <c:pt idx="43">
                  <c:v>0.18563282146637564</c:v>
                </c:pt>
                <c:pt idx="44">
                  <c:v>0.12307793719954042</c:v>
                </c:pt>
                <c:pt idx="45">
                  <c:v>0</c:v>
                </c:pt>
              </c:numCache>
            </c:numRef>
          </c:val>
          <c:extLst>
            <c:ext xmlns:c16="http://schemas.microsoft.com/office/drawing/2014/chart" uri="{C3380CC4-5D6E-409C-BE32-E72D297353CC}">
              <c16:uniqueId val="{00000000-C1D0-43F9-894A-B02D51C4587D}"/>
            </c:ext>
          </c:extLst>
        </c:ser>
        <c:ser>
          <c:idx val="1"/>
          <c:order val="1"/>
          <c:tx>
            <c:strRef>
              <c:f>Capital!$C$1</c:f>
              <c:strCache>
                <c:ptCount val="1"/>
                <c:pt idx="0">
                  <c:v>Property</c:v>
                </c:pt>
              </c:strCache>
            </c:strRef>
          </c:tx>
          <c:spPr>
            <a:solidFill>
              <a:srgbClr val="7030A0"/>
            </a:solidFill>
            <a:ln>
              <a:noFill/>
            </a:ln>
            <a:effectLst/>
          </c:spPr>
          <c:cat>
            <c:numRef>
              <c:f>Capital!$A$2:$A$47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Capital!$C$2:$C$47</c:f>
              <c:numCache>
                <c:formatCode>0.00%</c:formatCode>
                <c:ptCount val="46"/>
                <c:pt idx="0">
                  <c:v>4.8984203043178097E-2</c:v>
                </c:pt>
                <c:pt idx="1">
                  <c:v>4.8984203043178097E-2</c:v>
                </c:pt>
                <c:pt idx="2">
                  <c:v>4.8984203043178097E-2</c:v>
                </c:pt>
                <c:pt idx="3">
                  <c:v>4.8984203043178097E-2</c:v>
                </c:pt>
                <c:pt idx="4">
                  <c:v>4.8984203043178097E-2</c:v>
                </c:pt>
                <c:pt idx="5">
                  <c:v>4.8984203043178097E-2</c:v>
                </c:pt>
                <c:pt idx="6">
                  <c:v>4.8984203043178097E-2</c:v>
                </c:pt>
                <c:pt idx="7">
                  <c:v>4.8984203043178097E-2</c:v>
                </c:pt>
                <c:pt idx="8">
                  <c:v>4.8984203043178097E-2</c:v>
                </c:pt>
                <c:pt idx="9">
                  <c:v>4.8984203043178097E-2</c:v>
                </c:pt>
                <c:pt idx="10">
                  <c:v>4.8984203043178097E-2</c:v>
                </c:pt>
                <c:pt idx="11">
                  <c:v>4.8984203043178097E-2</c:v>
                </c:pt>
                <c:pt idx="12">
                  <c:v>4.89508090555053E-2</c:v>
                </c:pt>
                <c:pt idx="13">
                  <c:v>4.8750445129470701E-2</c:v>
                </c:pt>
                <c:pt idx="14">
                  <c:v>4.8483466840330003E-2</c:v>
                </c:pt>
                <c:pt idx="15">
                  <c:v>4.8017228378562697E-2</c:v>
                </c:pt>
                <c:pt idx="16">
                  <c:v>4.7550989916795801E-2</c:v>
                </c:pt>
                <c:pt idx="17">
                  <c:v>4.699934556371E-2</c:v>
                </c:pt>
                <c:pt idx="18">
                  <c:v>4.6199359810031898E-2</c:v>
                </c:pt>
                <c:pt idx="19">
                  <c:v>4.5399374056353199E-2</c:v>
                </c:pt>
                <c:pt idx="20">
                  <c:v>4.4515630913653702E-2</c:v>
                </c:pt>
                <c:pt idx="21">
                  <c:v>4.3380197493835398E-2</c:v>
                </c:pt>
                <c:pt idx="22">
                  <c:v>4.2247866351120301E-2</c:v>
                </c:pt>
                <c:pt idx="23">
                  <c:v>4.1098753234718302E-2</c:v>
                </c:pt>
                <c:pt idx="24">
                  <c:v>3.9899854333031302E-2</c:v>
                </c:pt>
                <c:pt idx="25">
                  <c:v>3.8697670776819501E-2</c:v>
                </c:pt>
                <c:pt idx="26">
                  <c:v>3.75155623265142E-2</c:v>
                </c:pt>
                <c:pt idx="27">
                  <c:v>3.6383268919365497E-2</c:v>
                </c:pt>
                <c:pt idx="28">
                  <c:v>3.5250975512216898E-2</c:v>
                </c:pt>
                <c:pt idx="29">
                  <c:v>3.41153228819219E-2</c:v>
                </c:pt>
                <c:pt idx="30">
                  <c:v>3.2982009730877497E-2</c:v>
                </c:pt>
                <c:pt idx="31">
                  <c:v>3.1848696579833198E-2</c:v>
                </c:pt>
                <c:pt idx="32">
                  <c:v>3.0715630913653699E-2</c:v>
                </c:pt>
                <c:pt idx="33">
                  <c:v>2.9580197493835E-2</c:v>
                </c:pt>
                <c:pt idx="34">
                  <c:v>2.84478663511201E-2</c:v>
                </c:pt>
                <c:pt idx="35">
                  <c:v>2.73155475755366E-2</c:v>
                </c:pt>
                <c:pt idx="36">
                  <c:v>2.4839626657426315E-2</c:v>
                </c:pt>
                <c:pt idx="37">
                  <c:v>2.2403506074892176E-2</c:v>
                </c:pt>
                <c:pt idx="38">
                  <c:v>1.6567740130172162E-2</c:v>
                </c:pt>
                <c:pt idx="39">
                  <c:v>9.524122775592293E-3</c:v>
                </c:pt>
                <c:pt idx="40">
                  <c:v>3.2303595552685195E-3</c:v>
                </c:pt>
                <c:pt idx="41">
                  <c:v>0</c:v>
                </c:pt>
                <c:pt idx="42">
                  <c:v>0</c:v>
                </c:pt>
                <c:pt idx="43">
                  <c:v>0</c:v>
                </c:pt>
                <c:pt idx="44">
                  <c:v>0</c:v>
                </c:pt>
                <c:pt idx="45">
                  <c:v>0</c:v>
                </c:pt>
              </c:numCache>
            </c:numRef>
          </c:val>
          <c:extLst>
            <c:ext xmlns:c16="http://schemas.microsoft.com/office/drawing/2014/chart" uri="{C3380CC4-5D6E-409C-BE32-E72D297353CC}">
              <c16:uniqueId val="{00000001-C1D0-43F9-894A-B02D51C4587D}"/>
            </c:ext>
          </c:extLst>
        </c:ser>
        <c:ser>
          <c:idx val="2"/>
          <c:order val="2"/>
          <c:tx>
            <c:strRef>
              <c:f>Capital!$D$1</c:f>
              <c:strCache>
                <c:ptCount val="1"/>
                <c:pt idx="0">
                  <c:v>Commodity</c:v>
                </c:pt>
              </c:strCache>
            </c:strRef>
          </c:tx>
          <c:spPr>
            <a:solidFill>
              <a:srgbClr val="FF0000"/>
            </a:solidFill>
            <a:ln>
              <a:noFill/>
            </a:ln>
            <a:effectLst/>
          </c:spPr>
          <c:cat>
            <c:numRef>
              <c:f>Capital!$A$2:$A$47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Capital!$D$2:$D$47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3.09840000063532E-7</c:v>
                </c:pt>
                <c:pt idx="13">
                  <c:v>1.5649386326402599E-3</c:v>
                </c:pt>
                <c:pt idx="14">
                  <c:v>2.12345939719697E-3</c:v>
                </c:pt>
                <c:pt idx="15">
                  <c:v>2.8719812240235302E-3</c:v>
                </c:pt>
                <c:pt idx="16">
                  <c:v>3.8160236010930698E-3</c:v>
                </c:pt>
                <c:pt idx="17">
                  <c:v>4.9244535040802997E-3</c:v>
                </c:pt>
                <c:pt idx="18">
                  <c:v>6.1642149650814196E-3</c:v>
                </c:pt>
                <c:pt idx="19">
                  <c:v>7.8004001640187698E-3</c:v>
                </c:pt>
                <c:pt idx="20">
                  <c:v>9.4872441739314705E-3</c:v>
                </c:pt>
                <c:pt idx="21">
                  <c:v>1.1292230962080299E-2</c:v>
                </c:pt>
                <c:pt idx="22">
                  <c:v>1.30111858177092E-2</c:v>
                </c:pt>
                <c:pt idx="23">
                  <c:v>1.4802340147434499E-2</c:v>
                </c:pt>
                <c:pt idx="24">
                  <c:v>1.6525358650417599E-2</c:v>
                </c:pt>
                <c:pt idx="25">
                  <c:v>1.8270623741040201E-2</c:v>
                </c:pt>
                <c:pt idx="26">
                  <c:v>1.9965203257930698E-2</c:v>
                </c:pt>
                <c:pt idx="27">
                  <c:v>2.1683204313345798E-2</c:v>
                </c:pt>
                <c:pt idx="28">
                  <c:v>2.33390911691497E-2</c:v>
                </c:pt>
                <c:pt idx="29">
                  <c:v>2.4940902638640201E-2</c:v>
                </c:pt>
                <c:pt idx="30">
                  <c:v>2.6569624906166E-2</c:v>
                </c:pt>
                <c:pt idx="31">
                  <c:v>2.80136129895712E-2</c:v>
                </c:pt>
                <c:pt idx="32">
                  <c:v>2.9367456336368E-2</c:v>
                </c:pt>
                <c:pt idx="33">
                  <c:v>3.09651558410402E-2</c:v>
                </c:pt>
                <c:pt idx="34">
                  <c:v>3.2375050689276597E-2</c:v>
                </c:pt>
                <c:pt idx="35">
                  <c:v>3.3774326450987401E-2</c:v>
                </c:pt>
                <c:pt idx="36">
                  <c:v>3.3399381963893332E-2</c:v>
                </c:pt>
                <c:pt idx="37">
                  <c:v>3.2624335690173291E-2</c:v>
                </c:pt>
                <c:pt idx="38">
                  <c:v>3.1471605585743051E-2</c:v>
                </c:pt>
                <c:pt idx="39">
                  <c:v>2.9931175569173848E-2</c:v>
                </c:pt>
                <c:pt idx="40">
                  <c:v>2.7794197688108459E-2</c:v>
                </c:pt>
                <c:pt idx="41">
                  <c:v>2.5235543713334412E-2</c:v>
                </c:pt>
                <c:pt idx="42">
                  <c:v>2.1997872261980071E-2</c:v>
                </c:pt>
                <c:pt idx="43">
                  <c:v>1.803690783208016E-2</c:v>
                </c:pt>
                <c:pt idx="44">
                  <c:v>1.2754020018574994E-2</c:v>
                </c:pt>
                <c:pt idx="45">
                  <c:v>0</c:v>
                </c:pt>
              </c:numCache>
            </c:numRef>
          </c:val>
          <c:extLst>
            <c:ext xmlns:c16="http://schemas.microsoft.com/office/drawing/2014/chart" uri="{C3380CC4-5D6E-409C-BE32-E72D297353CC}">
              <c16:uniqueId val="{00000002-C1D0-43F9-894A-B02D51C4587D}"/>
            </c:ext>
          </c:extLst>
        </c:ser>
        <c:ser>
          <c:idx val="3"/>
          <c:order val="3"/>
          <c:tx>
            <c:strRef>
              <c:f>Capital!$E$1</c:f>
              <c:strCache>
                <c:ptCount val="1"/>
                <c:pt idx="0">
                  <c:v>Fixed Income</c:v>
                </c:pt>
              </c:strCache>
            </c:strRef>
          </c:tx>
          <c:spPr>
            <a:solidFill>
              <a:srgbClr val="00B050"/>
            </a:solidFill>
            <a:ln>
              <a:noFill/>
            </a:ln>
            <a:effectLst/>
          </c:spPr>
          <c:cat>
            <c:numRef>
              <c:f>Capital!$A$2:$A$47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Capital!$E$2:$E$47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3.2192055418997305E-3</c:v>
                </c:pt>
                <c:pt idx="13">
                  <c:v>6.1897039878886801E-3</c:v>
                </c:pt>
                <c:pt idx="14">
                  <c:v>1.0798674524648465E-2</c:v>
                </c:pt>
                <c:pt idx="15">
                  <c:v>1.7637314403732358E-2</c:v>
                </c:pt>
                <c:pt idx="16">
                  <c:v>2.6522498747054098E-2</c:v>
                </c:pt>
                <c:pt idx="17">
                  <c:v>3.6650699159994596E-2</c:v>
                </c:pt>
                <c:pt idx="18">
                  <c:v>4.9048071533107543E-2</c:v>
                </c:pt>
                <c:pt idx="19">
                  <c:v>6.2973345055785099E-2</c:v>
                </c:pt>
                <c:pt idx="20">
                  <c:v>7.7481001456556106E-2</c:v>
                </c:pt>
                <c:pt idx="21">
                  <c:v>9.4069806159994065E-2</c:v>
                </c:pt>
                <c:pt idx="22">
                  <c:v>0.11435820104671669</c:v>
                </c:pt>
                <c:pt idx="23">
                  <c:v>0.1350120245205034</c:v>
                </c:pt>
                <c:pt idx="24">
                  <c:v>0.15584487854728152</c:v>
                </c:pt>
                <c:pt idx="25">
                  <c:v>0.17584355615999603</c:v>
                </c:pt>
                <c:pt idx="26">
                  <c:v>0.19532124968410641</c:v>
                </c:pt>
                <c:pt idx="27">
                  <c:v>0.21457169418430203</c:v>
                </c:pt>
                <c:pt idx="28">
                  <c:v>0.23350825510316153</c:v>
                </c:pt>
                <c:pt idx="29">
                  <c:v>0.25430619215999528</c:v>
                </c:pt>
                <c:pt idx="30">
                  <c:v>0.27532279331735726</c:v>
                </c:pt>
                <c:pt idx="31">
                  <c:v>0.29588282594070903</c:v>
                </c:pt>
                <c:pt idx="32">
                  <c:v>0.31567547859401462</c:v>
                </c:pt>
                <c:pt idx="33">
                  <c:v>0.33440900015999625</c:v>
                </c:pt>
                <c:pt idx="34">
                  <c:v>0.35478316024874895</c:v>
                </c:pt>
                <c:pt idx="35">
                  <c:v>0.37505720570790529</c:v>
                </c:pt>
                <c:pt idx="36">
                  <c:v>0.37437554269123879</c:v>
                </c:pt>
                <c:pt idx="37">
                  <c:v>0.37072199594167843</c:v>
                </c:pt>
                <c:pt idx="38">
                  <c:v>0.36401173030155343</c:v>
                </c:pt>
                <c:pt idx="39">
                  <c:v>0.35261576281541446</c:v>
                </c:pt>
                <c:pt idx="40">
                  <c:v>0.336792964814351</c:v>
                </c:pt>
                <c:pt idx="41">
                  <c:v>0.31481161196546792</c:v>
                </c:pt>
                <c:pt idx="42">
                  <c:v>0.28502611915746123</c:v>
                </c:pt>
                <c:pt idx="43">
                  <c:v>0.24354386620150173</c:v>
                </c:pt>
                <c:pt idx="44">
                  <c:v>0.18039580879872252</c:v>
                </c:pt>
                <c:pt idx="45">
                  <c:v>0</c:v>
                </c:pt>
              </c:numCache>
            </c:numRef>
          </c:val>
          <c:extLst>
            <c:ext xmlns:c16="http://schemas.microsoft.com/office/drawing/2014/chart" uri="{C3380CC4-5D6E-409C-BE32-E72D297353CC}">
              <c16:uniqueId val="{00000003-C1D0-43F9-894A-B02D51C4587D}"/>
            </c:ext>
          </c:extLst>
        </c:ser>
        <c:ser>
          <c:idx val="4"/>
          <c:order val="4"/>
          <c:tx>
            <c:strRef>
              <c:f>Capital!$F$1</c:f>
              <c:strCache>
                <c:ptCount val="1"/>
                <c:pt idx="0">
                  <c:v>Cash</c:v>
                </c:pt>
              </c:strCache>
            </c:strRef>
          </c:tx>
          <c:spPr>
            <a:solidFill>
              <a:srgbClr val="FFC000"/>
            </a:solidFill>
            <a:ln>
              <a:solidFill>
                <a:schemeClr val="tx1">
                  <a:lumMod val="15000"/>
                  <a:lumOff val="85000"/>
                </a:schemeClr>
              </a:solidFill>
            </a:ln>
            <a:effectLst/>
          </c:spPr>
          <c:cat>
            <c:numRef>
              <c:f>Capital!$A$2:$A$47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Capital!$F$2:$F$47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5.1316701949485566E-2</c:v>
                </c:pt>
                <c:pt idx="37">
                  <c:v>0.10557280900008315</c:v>
                </c:pt>
                <c:pt idx="38">
                  <c:v>0.16333997346592377</c:v>
                </c:pt>
                <c:pt idx="39">
                  <c:v>0.22540333075851615</c:v>
                </c:pt>
                <c:pt idx="40">
                  <c:v>0.29289321881345198</c:v>
                </c:pt>
                <c:pt idx="41">
                  <c:v>0.36754446796632401</c:v>
                </c:pt>
                <c:pt idx="42">
                  <c:v>0.45227744249483381</c:v>
                </c:pt>
                <c:pt idx="43">
                  <c:v>0.55278640450004257</c:v>
                </c:pt>
                <c:pt idx="44">
                  <c:v>0.683772233983162</c:v>
                </c:pt>
                <c:pt idx="45">
                  <c:v>1</c:v>
                </c:pt>
              </c:numCache>
            </c:numRef>
          </c:val>
          <c:extLst>
            <c:ext xmlns:c16="http://schemas.microsoft.com/office/drawing/2014/chart" uri="{C3380CC4-5D6E-409C-BE32-E72D297353CC}">
              <c16:uniqueId val="{00000004-C1D0-43F9-894A-B02D51C4587D}"/>
            </c:ext>
          </c:extLst>
        </c:ser>
        <c:dLbls>
          <c:showLegendKey val="0"/>
          <c:showVal val="0"/>
          <c:showCatName val="0"/>
          <c:showSerName val="0"/>
          <c:showPercent val="0"/>
          <c:showBubbleSize val="0"/>
        </c:dLbls>
        <c:axId val="931507880"/>
        <c:axId val="931508272"/>
      </c:areaChart>
      <c:catAx>
        <c:axId val="931507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dirty="0"/>
                  <a:t>Years</a:t>
                </a:r>
                <a:r>
                  <a:rPr lang="en-GB" baseline="0" dirty="0"/>
                  <a:t> to retirement</a:t>
                </a:r>
                <a:endParaRPr lang="en-GB" dirty="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508272"/>
        <c:crosses val="autoZero"/>
        <c:auto val="1"/>
        <c:lblAlgn val="ctr"/>
        <c:lblOffset val="100"/>
        <c:noMultiLvlLbl val="0"/>
      </c:catAx>
      <c:valAx>
        <c:axId val="931508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r>
                  <a:rPr lang="en-GB" baseline="0"/>
                  <a:t> Invested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507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percentStacked"/>
        <c:varyColors val="0"/>
        <c:ser>
          <c:idx val="0"/>
          <c:order val="0"/>
          <c:tx>
            <c:strRef>
              <c:f>Retirement!$B$1</c:f>
              <c:strCache>
                <c:ptCount val="1"/>
                <c:pt idx="0">
                  <c:v>Equities</c:v>
                </c:pt>
              </c:strCache>
            </c:strRef>
          </c:tx>
          <c:spPr>
            <a:solidFill>
              <a:srgbClr val="0070C0"/>
            </a:solidFill>
            <a:ln>
              <a:noFill/>
            </a:ln>
            <a:effectLst/>
          </c:spPr>
          <c:cat>
            <c:numRef>
              <c:f>Retirement!$A$2:$A$47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Retirement!$B$2:$B$47</c:f>
              <c:numCache>
                <c:formatCode>0.00%</c:formatCode>
                <c:ptCount val="46"/>
                <c:pt idx="0">
                  <c:v>0.95101579695682226</c:v>
                </c:pt>
                <c:pt idx="1">
                  <c:v>0.95101579695682226</c:v>
                </c:pt>
                <c:pt idx="2">
                  <c:v>0.95101579695682226</c:v>
                </c:pt>
                <c:pt idx="3">
                  <c:v>0.95101579695682226</c:v>
                </c:pt>
                <c:pt idx="4">
                  <c:v>0.95101579695682226</c:v>
                </c:pt>
                <c:pt idx="5">
                  <c:v>0.95101579695682226</c:v>
                </c:pt>
                <c:pt idx="6">
                  <c:v>0.95101579695682226</c:v>
                </c:pt>
                <c:pt idx="7">
                  <c:v>0.95101579695682226</c:v>
                </c:pt>
                <c:pt idx="8">
                  <c:v>0.95101579695682226</c:v>
                </c:pt>
                <c:pt idx="9">
                  <c:v>0.95101579695682226</c:v>
                </c:pt>
                <c:pt idx="10">
                  <c:v>0.95101579695682226</c:v>
                </c:pt>
                <c:pt idx="11">
                  <c:v>0.95101579695682226</c:v>
                </c:pt>
                <c:pt idx="12">
                  <c:v>0.94782967556259501</c:v>
                </c:pt>
                <c:pt idx="13">
                  <c:v>0.94349491225000304</c:v>
                </c:pt>
                <c:pt idx="14">
                  <c:v>0.9385943992378265</c:v>
                </c:pt>
                <c:pt idx="15">
                  <c:v>0.93147347599368346</c:v>
                </c:pt>
                <c:pt idx="16">
                  <c:v>0.9221104877350591</c:v>
                </c:pt>
                <c:pt idx="17">
                  <c:v>0.91142550177221748</c:v>
                </c:pt>
                <c:pt idx="18">
                  <c:v>0.89858835369178081</c:v>
                </c:pt>
                <c:pt idx="19">
                  <c:v>0.88382688072384508</c:v>
                </c:pt>
                <c:pt idx="20">
                  <c:v>0.86851612345586005</c:v>
                </c:pt>
                <c:pt idx="21">
                  <c:v>0.85125776538409226</c:v>
                </c:pt>
                <c:pt idx="22">
                  <c:v>0.83038274678445623</c:v>
                </c:pt>
                <c:pt idx="23">
                  <c:v>0.80908688209734503</c:v>
                </c:pt>
                <c:pt idx="24">
                  <c:v>0.7877299084692716</c:v>
                </c:pt>
                <c:pt idx="25">
                  <c:v>0.76718814932214674</c:v>
                </c:pt>
                <c:pt idx="26">
                  <c:v>0.74719798473145038</c:v>
                </c:pt>
                <c:pt idx="27">
                  <c:v>0.72736183258298781</c:v>
                </c:pt>
                <c:pt idx="28">
                  <c:v>0.70790167821547223</c:v>
                </c:pt>
                <c:pt idx="29">
                  <c:v>0.6866375823194435</c:v>
                </c:pt>
                <c:pt idx="30">
                  <c:v>0.66512557204560097</c:v>
                </c:pt>
                <c:pt idx="31">
                  <c:v>0.64425486448988778</c:v>
                </c:pt>
                <c:pt idx="32">
                  <c:v>0.62424143415596511</c:v>
                </c:pt>
                <c:pt idx="33">
                  <c:v>0.60504564650512926</c:v>
                </c:pt>
                <c:pt idx="34">
                  <c:v>0.58439392271085622</c:v>
                </c:pt>
                <c:pt idx="35">
                  <c:v>0.56385292026557188</c:v>
                </c:pt>
                <c:pt idx="36">
                  <c:v>0.51606874673795589</c:v>
                </c:pt>
                <c:pt idx="37">
                  <c:v>0.46867735329317284</c:v>
                </c:pt>
                <c:pt idx="38">
                  <c:v>0.42460895051660746</c:v>
                </c:pt>
                <c:pt idx="39">
                  <c:v>0.3825256080813032</c:v>
                </c:pt>
                <c:pt idx="40">
                  <c:v>0.33928925912882019</c:v>
                </c:pt>
                <c:pt idx="41">
                  <c:v>0.29240837635487366</c:v>
                </c:pt>
                <c:pt idx="42">
                  <c:v>0.24069856608572493</c:v>
                </c:pt>
                <c:pt idx="43">
                  <c:v>0.18563282146637564</c:v>
                </c:pt>
                <c:pt idx="44">
                  <c:v>0.12307793719954042</c:v>
                </c:pt>
                <c:pt idx="45">
                  <c:v>0</c:v>
                </c:pt>
              </c:numCache>
            </c:numRef>
          </c:val>
          <c:extLst>
            <c:ext xmlns:c16="http://schemas.microsoft.com/office/drawing/2014/chart" uri="{C3380CC4-5D6E-409C-BE32-E72D297353CC}">
              <c16:uniqueId val="{00000000-CD26-4CEE-9323-31481ED9A0AD}"/>
            </c:ext>
          </c:extLst>
        </c:ser>
        <c:ser>
          <c:idx val="1"/>
          <c:order val="1"/>
          <c:tx>
            <c:strRef>
              <c:f>Retirement!$C$1</c:f>
              <c:strCache>
                <c:ptCount val="1"/>
                <c:pt idx="0">
                  <c:v>Property</c:v>
                </c:pt>
              </c:strCache>
            </c:strRef>
          </c:tx>
          <c:spPr>
            <a:solidFill>
              <a:srgbClr val="7030A0"/>
            </a:solidFill>
            <a:ln>
              <a:noFill/>
            </a:ln>
            <a:effectLst/>
          </c:spPr>
          <c:cat>
            <c:numRef>
              <c:f>Retirement!$A$2:$A$47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Retirement!$C$2:$C$47</c:f>
              <c:numCache>
                <c:formatCode>0.00%</c:formatCode>
                <c:ptCount val="46"/>
                <c:pt idx="0">
                  <c:v>4.8984203043178097E-2</c:v>
                </c:pt>
                <c:pt idx="1">
                  <c:v>4.8984203043178097E-2</c:v>
                </c:pt>
                <c:pt idx="2">
                  <c:v>4.8984203043178097E-2</c:v>
                </c:pt>
                <c:pt idx="3">
                  <c:v>4.8984203043178097E-2</c:v>
                </c:pt>
                <c:pt idx="4">
                  <c:v>4.8984203043178097E-2</c:v>
                </c:pt>
                <c:pt idx="5">
                  <c:v>4.8984203043178097E-2</c:v>
                </c:pt>
                <c:pt idx="6">
                  <c:v>4.8984203043178097E-2</c:v>
                </c:pt>
                <c:pt idx="7">
                  <c:v>4.8984203043178097E-2</c:v>
                </c:pt>
                <c:pt idx="8">
                  <c:v>4.8984203043178097E-2</c:v>
                </c:pt>
                <c:pt idx="9">
                  <c:v>4.8984203043178097E-2</c:v>
                </c:pt>
                <c:pt idx="10">
                  <c:v>4.8984203043178097E-2</c:v>
                </c:pt>
                <c:pt idx="11">
                  <c:v>4.8984203043178097E-2</c:v>
                </c:pt>
                <c:pt idx="12">
                  <c:v>4.89508090555053E-2</c:v>
                </c:pt>
                <c:pt idx="13">
                  <c:v>4.8750445129470701E-2</c:v>
                </c:pt>
                <c:pt idx="14">
                  <c:v>4.8483466840330003E-2</c:v>
                </c:pt>
                <c:pt idx="15">
                  <c:v>4.8017228378562697E-2</c:v>
                </c:pt>
                <c:pt idx="16">
                  <c:v>4.7550989916795801E-2</c:v>
                </c:pt>
                <c:pt idx="17">
                  <c:v>4.699934556371E-2</c:v>
                </c:pt>
                <c:pt idx="18">
                  <c:v>4.6199359810031898E-2</c:v>
                </c:pt>
                <c:pt idx="19">
                  <c:v>4.5399374056353199E-2</c:v>
                </c:pt>
                <c:pt idx="20">
                  <c:v>4.4515630913653702E-2</c:v>
                </c:pt>
                <c:pt idx="21">
                  <c:v>4.3380197493835398E-2</c:v>
                </c:pt>
                <c:pt idx="22">
                  <c:v>4.2247866351120301E-2</c:v>
                </c:pt>
                <c:pt idx="23">
                  <c:v>4.1098753234718302E-2</c:v>
                </c:pt>
                <c:pt idx="24">
                  <c:v>3.9899854333031302E-2</c:v>
                </c:pt>
                <c:pt idx="25">
                  <c:v>3.8697670776819501E-2</c:v>
                </c:pt>
                <c:pt idx="26">
                  <c:v>3.75155623265142E-2</c:v>
                </c:pt>
                <c:pt idx="27">
                  <c:v>3.6383268919365497E-2</c:v>
                </c:pt>
                <c:pt idx="28">
                  <c:v>3.5250975512216898E-2</c:v>
                </c:pt>
                <c:pt idx="29">
                  <c:v>3.41153228819219E-2</c:v>
                </c:pt>
                <c:pt idx="30">
                  <c:v>3.2982009730877497E-2</c:v>
                </c:pt>
                <c:pt idx="31">
                  <c:v>3.1848696579833198E-2</c:v>
                </c:pt>
                <c:pt idx="32">
                  <c:v>3.0715630913653699E-2</c:v>
                </c:pt>
                <c:pt idx="33">
                  <c:v>2.9580197493835E-2</c:v>
                </c:pt>
                <c:pt idx="34">
                  <c:v>2.84478663511201E-2</c:v>
                </c:pt>
                <c:pt idx="35">
                  <c:v>2.73155475755366E-2</c:v>
                </c:pt>
                <c:pt idx="36">
                  <c:v>2.4839626657426315E-2</c:v>
                </c:pt>
                <c:pt idx="37">
                  <c:v>2.2403506074892176E-2</c:v>
                </c:pt>
                <c:pt idx="38">
                  <c:v>1.6567740130172162E-2</c:v>
                </c:pt>
                <c:pt idx="39">
                  <c:v>9.524122775592293E-3</c:v>
                </c:pt>
                <c:pt idx="40">
                  <c:v>3.2303595552685195E-3</c:v>
                </c:pt>
                <c:pt idx="41">
                  <c:v>0</c:v>
                </c:pt>
                <c:pt idx="42">
                  <c:v>0</c:v>
                </c:pt>
                <c:pt idx="43">
                  <c:v>0</c:v>
                </c:pt>
                <c:pt idx="44">
                  <c:v>0</c:v>
                </c:pt>
                <c:pt idx="45">
                  <c:v>0</c:v>
                </c:pt>
              </c:numCache>
            </c:numRef>
          </c:val>
          <c:extLst>
            <c:ext xmlns:c16="http://schemas.microsoft.com/office/drawing/2014/chart" uri="{C3380CC4-5D6E-409C-BE32-E72D297353CC}">
              <c16:uniqueId val="{00000001-CD26-4CEE-9323-31481ED9A0AD}"/>
            </c:ext>
          </c:extLst>
        </c:ser>
        <c:ser>
          <c:idx val="2"/>
          <c:order val="2"/>
          <c:tx>
            <c:strRef>
              <c:f>Retirement!$D$1</c:f>
              <c:strCache>
                <c:ptCount val="1"/>
                <c:pt idx="0">
                  <c:v>Commodity</c:v>
                </c:pt>
              </c:strCache>
            </c:strRef>
          </c:tx>
          <c:spPr>
            <a:solidFill>
              <a:srgbClr val="FF0000"/>
            </a:solidFill>
            <a:ln>
              <a:noFill/>
            </a:ln>
            <a:effectLst/>
          </c:spPr>
          <c:cat>
            <c:numRef>
              <c:f>Retirement!$A$2:$A$47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Retirement!$D$2:$D$47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3.09840000063532E-7</c:v>
                </c:pt>
                <c:pt idx="13">
                  <c:v>1.5649386326402599E-3</c:v>
                </c:pt>
                <c:pt idx="14">
                  <c:v>2.12345939719697E-3</c:v>
                </c:pt>
                <c:pt idx="15">
                  <c:v>2.8719812240235302E-3</c:v>
                </c:pt>
                <c:pt idx="16">
                  <c:v>3.8160236010930698E-3</c:v>
                </c:pt>
                <c:pt idx="17">
                  <c:v>4.9244535040802997E-3</c:v>
                </c:pt>
                <c:pt idx="18">
                  <c:v>6.1642149650814196E-3</c:v>
                </c:pt>
                <c:pt idx="19">
                  <c:v>7.8004001640187698E-3</c:v>
                </c:pt>
                <c:pt idx="20">
                  <c:v>9.4872441739314705E-3</c:v>
                </c:pt>
                <c:pt idx="21">
                  <c:v>1.1292230962080299E-2</c:v>
                </c:pt>
                <c:pt idx="22">
                  <c:v>1.30111858177092E-2</c:v>
                </c:pt>
                <c:pt idx="23">
                  <c:v>1.4802340147434499E-2</c:v>
                </c:pt>
                <c:pt idx="24">
                  <c:v>1.6525358650417599E-2</c:v>
                </c:pt>
                <c:pt idx="25">
                  <c:v>1.8270623741040201E-2</c:v>
                </c:pt>
                <c:pt idx="26">
                  <c:v>1.9965203257930698E-2</c:v>
                </c:pt>
                <c:pt idx="27">
                  <c:v>2.1683204313345798E-2</c:v>
                </c:pt>
                <c:pt idx="28">
                  <c:v>2.33390911691497E-2</c:v>
                </c:pt>
                <c:pt idx="29">
                  <c:v>2.4940902638640201E-2</c:v>
                </c:pt>
                <c:pt idx="30">
                  <c:v>2.6569624906166E-2</c:v>
                </c:pt>
                <c:pt idx="31">
                  <c:v>2.80136129895712E-2</c:v>
                </c:pt>
                <c:pt idx="32">
                  <c:v>2.9367456336368E-2</c:v>
                </c:pt>
                <c:pt idx="33">
                  <c:v>3.09651558410402E-2</c:v>
                </c:pt>
                <c:pt idx="34">
                  <c:v>3.2375050689276597E-2</c:v>
                </c:pt>
                <c:pt idx="35">
                  <c:v>3.3774326450987401E-2</c:v>
                </c:pt>
                <c:pt idx="36">
                  <c:v>3.3399381963893332E-2</c:v>
                </c:pt>
                <c:pt idx="37">
                  <c:v>3.2624335690173291E-2</c:v>
                </c:pt>
                <c:pt idx="38">
                  <c:v>3.1471605585743051E-2</c:v>
                </c:pt>
                <c:pt idx="39">
                  <c:v>2.9931175569173848E-2</c:v>
                </c:pt>
                <c:pt idx="40">
                  <c:v>2.7794197688108459E-2</c:v>
                </c:pt>
                <c:pt idx="41">
                  <c:v>2.5235543713334412E-2</c:v>
                </c:pt>
                <c:pt idx="42">
                  <c:v>2.1997872261980071E-2</c:v>
                </c:pt>
                <c:pt idx="43">
                  <c:v>1.803690783208016E-2</c:v>
                </c:pt>
                <c:pt idx="44">
                  <c:v>1.2754020018574994E-2</c:v>
                </c:pt>
                <c:pt idx="45">
                  <c:v>0</c:v>
                </c:pt>
              </c:numCache>
            </c:numRef>
          </c:val>
          <c:extLst>
            <c:ext xmlns:c16="http://schemas.microsoft.com/office/drawing/2014/chart" uri="{C3380CC4-5D6E-409C-BE32-E72D297353CC}">
              <c16:uniqueId val="{00000002-CD26-4CEE-9323-31481ED9A0AD}"/>
            </c:ext>
          </c:extLst>
        </c:ser>
        <c:ser>
          <c:idx val="3"/>
          <c:order val="3"/>
          <c:tx>
            <c:strRef>
              <c:f>Retirement!$E$1</c:f>
              <c:strCache>
                <c:ptCount val="1"/>
                <c:pt idx="0">
                  <c:v>Fixed income</c:v>
                </c:pt>
              </c:strCache>
            </c:strRef>
          </c:tx>
          <c:spPr>
            <a:solidFill>
              <a:srgbClr val="00B050"/>
            </a:solidFill>
            <a:ln>
              <a:noFill/>
            </a:ln>
            <a:effectLst/>
          </c:spPr>
          <c:cat>
            <c:numRef>
              <c:f>Retirement!$A$2:$A$47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Retirement!$E$2:$E$47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3.2192055418997305E-3</c:v>
                </c:pt>
                <c:pt idx="13">
                  <c:v>6.1897039878886801E-3</c:v>
                </c:pt>
                <c:pt idx="14">
                  <c:v>1.0798674524648465E-2</c:v>
                </c:pt>
                <c:pt idx="15">
                  <c:v>1.7637314403732358E-2</c:v>
                </c:pt>
                <c:pt idx="16">
                  <c:v>2.6522498747054098E-2</c:v>
                </c:pt>
                <c:pt idx="17">
                  <c:v>3.6650699159994596E-2</c:v>
                </c:pt>
                <c:pt idx="18">
                  <c:v>4.9048071533107543E-2</c:v>
                </c:pt>
                <c:pt idx="19">
                  <c:v>6.2973345055785099E-2</c:v>
                </c:pt>
                <c:pt idx="20">
                  <c:v>7.7481001456556106E-2</c:v>
                </c:pt>
                <c:pt idx="21">
                  <c:v>9.4069806159994065E-2</c:v>
                </c:pt>
                <c:pt idx="22">
                  <c:v>0.11435820104671669</c:v>
                </c:pt>
                <c:pt idx="23">
                  <c:v>0.1350120245205034</c:v>
                </c:pt>
                <c:pt idx="24">
                  <c:v>0.15584487854728152</c:v>
                </c:pt>
                <c:pt idx="25">
                  <c:v>0.17584355615999603</c:v>
                </c:pt>
                <c:pt idx="26">
                  <c:v>0.19532124968410641</c:v>
                </c:pt>
                <c:pt idx="27">
                  <c:v>0.21457169418430203</c:v>
                </c:pt>
                <c:pt idx="28">
                  <c:v>0.23350825510316153</c:v>
                </c:pt>
                <c:pt idx="29">
                  <c:v>0.25430619215999528</c:v>
                </c:pt>
                <c:pt idx="30">
                  <c:v>0.27532279331735726</c:v>
                </c:pt>
                <c:pt idx="31">
                  <c:v>0.29588282594070903</c:v>
                </c:pt>
                <c:pt idx="32">
                  <c:v>0.31567547859401462</c:v>
                </c:pt>
                <c:pt idx="33">
                  <c:v>0.33440900015999625</c:v>
                </c:pt>
                <c:pt idx="34">
                  <c:v>0.35478316024874895</c:v>
                </c:pt>
                <c:pt idx="35">
                  <c:v>0.37505720570790529</c:v>
                </c:pt>
                <c:pt idx="36">
                  <c:v>0.42569224464072436</c:v>
                </c:pt>
                <c:pt idx="37">
                  <c:v>0.47629480494176157</c:v>
                </c:pt>
                <c:pt idx="38">
                  <c:v>0.5273517037674772</c:v>
                </c:pt>
                <c:pt idx="39">
                  <c:v>0.57801909357393066</c:v>
                </c:pt>
                <c:pt idx="40">
                  <c:v>0.62968618362780293</c:v>
                </c:pt>
                <c:pt idx="41">
                  <c:v>0.65596287768177086</c:v>
                </c:pt>
                <c:pt idx="42">
                  <c:v>0.6809527289626659</c:v>
                </c:pt>
                <c:pt idx="43">
                  <c:v>0.70444415370996316</c:v>
                </c:pt>
                <c:pt idx="44">
                  <c:v>0.72597144165687411</c:v>
                </c:pt>
                <c:pt idx="45">
                  <c:v>0.75</c:v>
                </c:pt>
              </c:numCache>
            </c:numRef>
          </c:val>
          <c:extLst>
            <c:ext xmlns:c16="http://schemas.microsoft.com/office/drawing/2014/chart" uri="{C3380CC4-5D6E-409C-BE32-E72D297353CC}">
              <c16:uniqueId val="{00000003-CD26-4CEE-9323-31481ED9A0AD}"/>
            </c:ext>
          </c:extLst>
        </c:ser>
        <c:ser>
          <c:idx val="4"/>
          <c:order val="4"/>
          <c:tx>
            <c:strRef>
              <c:f>Retirement!$F$1</c:f>
              <c:strCache>
                <c:ptCount val="1"/>
                <c:pt idx="0">
                  <c:v>Cash</c:v>
                </c:pt>
              </c:strCache>
            </c:strRef>
          </c:tx>
          <c:spPr>
            <a:solidFill>
              <a:schemeClr val="accent4"/>
            </a:solidFill>
            <a:ln>
              <a:noFill/>
            </a:ln>
            <a:effectLst/>
          </c:spPr>
          <c:cat>
            <c:numRef>
              <c:f>Retirement!$A$2:$A$47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Retirement!$F$2:$F$47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2.6393202250021036E-2</c:v>
                </c:pt>
                <c:pt idx="42">
                  <c:v>5.6350832689629121E-2</c:v>
                </c:pt>
                <c:pt idx="43">
                  <c:v>9.1886116991581029E-2</c:v>
                </c:pt>
                <c:pt idx="44">
                  <c:v>0.13819660112501053</c:v>
                </c:pt>
                <c:pt idx="45">
                  <c:v>0.25</c:v>
                </c:pt>
              </c:numCache>
            </c:numRef>
          </c:val>
          <c:extLst>
            <c:ext xmlns:c16="http://schemas.microsoft.com/office/drawing/2014/chart" uri="{C3380CC4-5D6E-409C-BE32-E72D297353CC}">
              <c16:uniqueId val="{00000004-CD26-4CEE-9323-31481ED9A0AD}"/>
            </c:ext>
          </c:extLst>
        </c:ser>
        <c:dLbls>
          <c:showLegendKey val="0"/>
          <c:showVal val="0"/>
          <c:showCatName val="0"/>
          <c:showSerName val="0"/>
          <c:showPercent val="0"/>
          <c:showBubbleSize val="0"/>
        </c:dLbls>
        <c:axId val="931503568"/>
        <c:axId val="931498472"/>
      </c:areaChart>
      <c:catAx>
        <c:axId val="93150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 to retirement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498472"/>
        <c:crosses val="autoZero"/>
        <c:auto val="1"/>
        <c:lblAlgn val="ctr"/>
        <c:lblOffset val="100"/>
        <c:noMultiLvlLbl val="0"/>
      </c:catAx>
      <c:valAx>
        <c:axId val="931498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invested</a:t>
                </a:r>
              </a:p>
            </c:rich>
          </c:tx>
          <c:layout>
            <c:manualLayout>
              <c:xMode val="edge"/>
              <c:yMode val="edge"/>
              <c:x val="2.4867186616932293E-2"/>
              <c:y val="0.3111531058617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5035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percentStacked"/>
        <c:varyColors val="0"/>
        <c:ser>
          <c:idx val="0"/>
          <c:order val="0"/>
          <c:tx>
            <c:strRef>
              <c:f>Flexi!$B$1</c:f>
              <c:strCache>
                <c:ptCount val="1"/>
                <c:pt idx="0">
                  <c:v>Equities</c:v>
                </c:pt>
              </c:strCache>
            </c:strRef>
          </c:tx>
          <c:spPr>
            <a:solidFill>
              <a:srgbClr val="0070C0"/>
            </a:solidFill>
            <a:ln>
              <a:noFill/>
            </a:ln>
            <a:effectLst/>
          </c:spPr>
          <c:cat>
            <c:numRef>
              <c:f>Flexi!$A$2:$A$47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Flexi!$B$2:$B$47</c:f>
              <c:numCache>
                <c:formatCode>0.00%</c:formatCode>
                <c:ptCount val="46"/>
                <c:pt idx="0">
                  <c:v>0.95101579695682226</c:v>
                </c:pt>
                <c:pt idx="1">
                  <c:v>0.95101579695682226</c:v>
                </c:pt>
                <c:pt idx="2">
                  <c:v>0.95101579695682226</c:v>
                </c:pt>
                <c:pt idx="3">
                  <c:v>0.95101579695682226</c:v>
                </c:pt>
                <c:pt idx="4">
                  <c:v>0.95101579695682226</c:v>
                </c:pt>
                <c:pt idx="5">
                  <c:v>0.95101579695682226</c:v>
                </c:pt>
                <c:pt idx="6">
                  <c:v>0.95101579695682226</c:v>
                </c:pt>
                <c:pt idx="7">
                  <c:v>0.95101579695682226</c:v>
                </c:pt>
                <c:pt idx="8">
                  <c:v>0.95101579695682226</c:v>
                </c:pt>
                <c:pt idx="9">
                  <c:v>0.95101579695682226</c:v>
                </c:pt>
                <c:pt idx="10">
                  <c:v>0.95101579695682226</c:v>
                </c:pt>
                <c:pt idx="11">
                  <c:v>0.95101579695682226</c:v>
                </c:pt>
                <c:pt idx="12">
                  <c:v>0.94782967556259501</c:v>
                </c:pt>
                <c:pt idx="13">
                  <c:v>0.94349491225000304</c:v>
                </c:pt>
                <c:pt idx="14">
                  <c:v>0.9385943992378265</c:v>
                </c:pt>
                <c:pt idx="15">
                  <c:v>0.93147347599368346</c:v>
                </c:pt>
                <c:pt idx="16">
                  <c:v>0.9221104877350591</c:v>
                </c:pt>
                <c:pt idx="17">
                  <c:v>0.91142550177221748</c:v>
                </c:pt>
                <c:pt idx="18">
                  <c:v>0.89858835369178081</c:v>
                </c:pt>
                <c:pt idx="19">
                  <c:v>0.88382688072384508</c:v>
                </c:pt>
                <c:pt idx="20">
                  <c:v>0.86851612345586005</c:v>
                </c:pt>
                <c:pt idx="21">
                  <c:v>0.85125776538409226</c:v>
                </c:pt>
                <c:pt idx="22">
                  <c:v>0.83038274678445623</c:v>
                </c:pt>
                <c:pt idx="23">
                  <c:v>0.80908688209734503</c:v>
                </c:pt>
                <c:pt idx="24">
                  <c:v>0.7877299084692716</c:v>
                </c:pt>
                <c:pt idx="25">
                  <c:v>0.76718814932214674</c:v>
                </c:pt>
                <c:pt idx="26">
                  <c:v>0.74719798473145038</c:v>
                </c:pt>
                <c:pt idx="27">
                  <c:v>0.72736183258298781</c:v>
                </c:pt>
                <c:pt idx="28">
                  <c:v>0.70790167821547223</c:v>
                </c:pt>
                <c:pt idx="29">
                  <c:v>0.6866375823194435</c:v>
                </c:pt>
                <c:pt idx="30">
                  <c:v>0.66512557204560097</c:v>
                </c:pt>
                <c:pt idx="31">
                  <c:v>0.64425486448988778</c:v>
                </c:pt>
                <c:pt idx="32">
                  <c:v>0.62424143415596511</c:v>
                </c:pt>
                <c:pt idx="33">
                  <c:v>0.60504564650512926</c:v>
                </c:pt>
                <c:pt idx="34">
                  <c:v>0.58439392271085622</c:v>
                </c:pt>
                <c:pt idx="35">
                  <c:v>0.56385292026557188</c:v>
                </c:pt>
                <c:pt idx="36">
                  <c:v>0.54398422297351046</c:v>
                </c:pt>
                <c:pt idx="37">
                  <c:v>0.52399721073910976</c:v>
                </c:pt>
                <c:pt idx="38">
                  <c:v>0.50750476543690104</c:v>
                </c:pt>
                <c:pt idx="39">
                  <c:v>0.49383843653225068</c:v>
                </c:pt>
                <c:pt idx="40">
                  <c:v>0.47982747182749691</c:v>
                </c:pt>
                <c:pt idx="41">
                  <c:v>0.46233823809656238</c:v>
                </c:pt>
                <c:pt idx="42">
                  <c:v>0.439453447347665</c:v>
                </c:pt>
                <c:pt idx="43">
                  <c:v>0.41508760765389807</c:v>
                </c:pt>
                <c:pt idx="44">
                  <c:v>0.38920661126571343</c:v>
                </c:pt>
                <c:pt idx="45">
                  <c:v>0.35966943657792261</c:v>
                </c:pt>
              </c:numCache>
            </c:numRef>
          </c:val>
          <c:extLst>
            <c:ext xmlns:c16="http://schemas.microsoft.com/office/drawing/2014/chart" uri="{C3380CC4-5D6E-409C-BE32-E72D297353CC}">
              <c16:uniqueId val="{00000000-2583-4C97-9E08-B651D5642782}"/>
            </c:ext>
          </c:extLst>
        </c:ser>
        <c:ser>
          <c:idx val="1"/>
          <c:order val="1"/>
          <c:tx>
            <c:strRef>
              <c:f>Flexi!$C$1</c:f>
              <c:strCache>
                <c:ptCount val="1"/>
                <c:pt idx="0">
                  <c:v>Property</c:v>
                </c:pt>
              </c:strCache>
            </c:strRef>
          </c:tx>
          <c:spPr>
            <a:solidFill>
              <a:srgbClr val="7030A0"/>
            </a:solidFill>
            <a:ln>
              <a:noFill/>
            </a:ln>
            <a:effectLst/>
          </c:spPr>
          <c:cat>
            <c:numRef>
              <c:f>Flexi!$A$2:$A$47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Flexi!$C$2:$C$47</c:f>
              <c:numCache>
                <c:formatCode>0.00%</c:formatCode>
                <c:ptCount val="46"/>
                <c:pt idx="0">
                  <c:v>4.8984203043178097E-2</c:v>
                </c:pt>
                <c:pt idx="1">
                  <c:v>4.8984203043178097E-2</c:v>
                </c:pt>
                <c:pt idx="2">
                  <c:v>4.8984203043178097E-2</c:v>
                </c:pt>
                <c:pt idx="3">
                  <c:v>4.8984203043178097E-2</c:v>
                </c:pt>
                <c:pt idx="4">
                  <c:v>4.8984203043178097E-2</c:v>
                </c:pt>
                <c:pt idx="5">
                  <c:v>4.8984203043178097E-2</c:v>
                </c:pt>
                <c:pt idx="6">
                  <c:v>4.8984203043178097E-2</c:v>
                </c:pt>
                <c:pt idx="7">
                  <c:v>4.8984203043178097E-2</c:v>
                </c:pt>
                <c:pt idx="8">
                  <c:v>4.8984203043178097E-2</c:v>
                </c:pt>
                <c:pt idx="9">
                  <c:v>4.8984203043178097E-2</c:v>
                </c:pt>
                <c:pt idx="10">
                  <c:v>4.8984203043178097E-2</c:v>
                </c:pt>
                <c:pt idx="11">
                  <c:v>4.8984203043178097E-2</c:v>
                </c:pt>
                <c:pt idx="12">
                  <c:v>4.89508090555053E-2</c:v>
                </c:pt>
                <c:pt idx="13">
                  <c:v>4.8750445129470701E-2</c:v>
                </c:pt>
                <c:pt idx="14">
                  <c:v>4.8483466840330003E-2</c:v>
                </c:pt>
                <c:pt idx="15">
                  <c:v>4.8017228378562697E-2</c:v>
                </c:pt>
                <c:pt idx="16">
                  <c:v>4.7550989916795801E-2</c:v>
                </c:pt>
                <c:pt idx="17">
                  <c:v>4.699934556371E-2</c:v>
                </c:pt>
                <c:pt idx="18">
                  <c:v>4.6199359810031898E-2</c:v>
                </c:pt>
                <c:pt idx="19">
                  <c:v>4.5399374056353199E-2</c:v>
                </c:pt>
                <c:pt idx="20">
                  <c:v>4.4515630913653702E-2</c:v>
                </c:pt>
                <c:pt idx="21">
                  <c:v>4.3380197493835398E-2</c:v>
                </c:pt>
                <c:pt idx="22">
                  <c:v>4.2247866351120301E-2</c:v>
                </c:pt>
                <c:pt idx="23">
                  <c:v>4.1098753234718302E-2</c:v>
                </c:pt>
                <c:pt idx="24">
                  <c:v>3.9899854333031302E-2</c:v>
                </c:pt>
                <c:pt idx="25">
                  <c:v>3.8697670776819501E-2</c:v>
                </c:pt>
                <c:pt idx="26">
                  <c:v>3.75155623265142E-2</c:v>
                </c:pt>
                <c:pt idx="27">
                  <c:v>3.6383268919365497E-2</c:v>
                </c:pt>
                <c:pt idx="28">
                  <c:v>3.5250975512216898E-2</c:v>
                </c:pt>
                <c:pt idx="29">
                  <c:v>3.41153228819219E-2</c:v>
                </c:pt>
                <c:pt idx="30">
                  <c:v>3.2982009730877497E-2</c:v>
                </c:pt>
                <c:pt idx="31">
                  <c:v>3.1848696579833198E-2</c:v>
                </c:pt>
                <c:pt idx="32">
                  <c:v>3.0715630913653699E-2</c:v>
                </c:pt>
                <c:pt idx="33">
                  <c:v>2.9580197493835E-2</c:v>
                </c:pt>
                <c:pt idx="34">
                  <c:v>2.84478663511201E-2</c:v>
                </c:pt>
                <c:pt idx="35">
                  <c:v>2.73155475755366E-2</c:v>
                </c:pt>
                <c:pt idx="36">
                  <c:v>2.6183265488567399E-2</c:v>
                </c:pt>
                <c:pt idx="37">
                  <c:v>2.5047881258894199E-2</c:v>
                </c:pt>
                <c:pt idx="38">
                  <c:v>1.9802236995599298E-2</c:v>
                </c:pt>
                <c:pt idx="39">
                  <c:v>1.22955896323679E-2</c:v>
                </c:pt>
                <c:pt idx="40">
                  <c:v>4.5684182944022598E-3</c:v>
                </c:pt>
                <c:pt idx="41">
                  <c:v>0</c:v>
                </c:pt>
                <c:pt idx="42">
                  <c:v>0</c:v>
                </c:pt>
                <c:pt idx="43">
                  <c:v>0</c:v>
                </c:pt>
                <c:pt idx="44">
                  <c:v>0</c:v>
                </c:pt>
                <c:pt idx="45">
                  <c:v>0</c:v>
                </c:pt>
              </c:numCache>
            </c:numRef>
          </c:val>
          <c:extLst>
            <c:ext xmlns:c16="http://schemas.microsoft.com/office/drawing/2014/chart" uri="{C3380CC4-5D6E-409C-BE32-E72D297353CC}">
              <c16:uniqueId val="{00000001-2583-4C97-9E08-B651D5642782}"/>
            </c:ext>
          </c:extLst>
        </c:ser>
        <c:ser>
          <c:idx val="2"/>
          <c:order val="2"/>
          <c:tx>
            <c:strRef>
              <c:f>Flexi!$D$1</c:f>
              <c:strCache>
                <c:ptCount val="1"/>
                <c:pt idx="0">
                  <c:v>Commodity</c:v>
                </c:pt>
              </c:strCache>
            </c:strRef>
          </c:tx>
          <c:spPr>
            <a:solidFill>
              <a:srgbClr val="FF0000"/>
            </a:solidFill>
            <a:ln>
              <a:noFill/>
            </a:ln>
            <a:effectLst/>
          </c:spPr>
          <c:cat>
            <c:numRef>
              <c:f>Flexi!$A$2:$A$47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Flexi!$D$2:$D$47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3.09840000063532E-7</c:v>
                </c:pt>
                <c:pt idx="13">
                  <c:v>1.5649386326402599E-3</c:v>
                </c:pt>
                <c:pt idx="14">
                  <c:v>2.12345939719697E-3</c:v>
                </c:pt>
                <c:pt idx="15">
                  <c:v>2.8719812240235302E-3</c:v>
                </c:pt>
                <c:pt idx="16">
                  <c:v>3.8160236010930698E-3</c:v>
                </c:pt>
                <c:pt idx="17">
                  <c:v>4.9244535040802997E-3</c:v>
                </c:pt>
                <c:pt idx="18">
                  <c:v>6.1642149650814196E-3</c:v>
                </c:pt>
                <c:pt idx="19">
                  <c:v>7.8004001640187698E-3</c:v>
                </c:pt>
                <c:pt idx="20">
                  <c:v>9.4872441739314705E-3</c:v>
                </c:pt>
                <c:pt idx="21">
                  <c:v>1.1292230962080299E-2</c:v>
                </c:pt>
                <c:pt idx="22">
                  <c:v>1.30111858177092E-2</c:v>
                </c:pt>
                <c:pt idx="23">
                  <c:v>1.4802340147434499E-2</c:v>
                </c:pt>
                <c:pt idx="24">
                  <c:v>1.6525358650417599E-2</c:v>
                </c:pt>
                <c:pt idx="25">
                  <c:v>1.8270623741040201E-2</c:v>
                </c:pt>
                <c:pt idx="26">
                  <c:v>1.9965203257930698E-2</c:v>
                </c:pt>
                <c:pt idx="27">
                  <c:v>2.1683204313345798E-2</c:v>
                </c:pt>
                <c:pt idx="28">
                  <c:v>2.33390911691497E-2</c:v>
                </c:pt>
                <c:pt idx="29">
                  <c:v>2.4940902638640201E-2</c:v>
                </c:pt>
                <c:pt idx="30">
                  <c:v>2.6569624906166E-2</c:v>
                </c:pt>
                <c:pt idx="31">
                  <c:v>2.80136129895712E-2</c:v>
                </c:pt>
                <c:pt idx="32">
                  <c:v>2.9367456336368E-2</c:v>
                </c:pt>
                <c:pt idx="33">
                  <c:v>3.09651558410402E-2</c:v>
                </c:pt>
                <c:pt idx="34">
                  <c:v>3.2375050689276597E-2</c:v>
                </c:pt>
                <c:pt idx="35">
                  <c:v>3.3774326450987401E-2</c:v>
                </c:pt>
                <c:pt idx="36">
                  <c:v>3.5206039815950198E-2</c:v>
                </c:pt>
                <c:pt idx="37">
                  <c:v>3.6475116161999999E-2</c:v>
                </c:pt>
                <c:pt idx="38">
                  <c:v>3.7615763377768202E-2</c:v>
                </c:pt>
                <c:pt idx="39">
                  <c:v>3.86409815039402E-2</c:v>
                </c:pt>
                <c:pt idx="40">
                  <c:v>3.9306931325801903E-2</c:v>
                </c:pt>
                <c:pt idx="41">
                  <c:v>3.990089806344E-2</c:v>
                </c:pt>
                <c:pt idx="42">
                  <c:v>4.0162436183345598E-2</c:v>
                </c:pt>
                <c:pt idx="43">
                  <c:v>4.0331752016429599E-2</c:v>
                </c:pt>
                <c:pt idx="44">
                  <c:v>4.0331752582080001E-2</c:v>
                </c:pt>
                <c:pt idx="45">
                  <c:v>4.0331752582080001E-2</c:v>
                </c:pt>
              </c:numCache>
            </c:numRef>
          </c:val>
          <c:extLst>
            <c:ext xmlns:c16="http://schemas.microsoft.com/office/drawing/2014/chart" uri="{C3380CC4-5D6E-409C-BE32-E72D297353CC}">
              <c16:uniqueId val="{00000002-2583-4C97-9E08-B651D5642782}"/>
            </c:ext>
          </c:extLst>
        </c:ser>
        <c:ser>
          <c:idx val="3"/>
          <c:order val="3"/>
          <c:tx>
            <c:strRef>
              <c:f>Flexi!$E$1</c:f>
              <c:strCache>
                <c:ptCount val="1"/>
                <c:pt idx="0">
                  <c:v>Fixed Income</c:v>
                </c:pt>
              </c:strCache>
            </c:strRef>
          </c:tx>
          <c:spPr>
            <a:solidFill>
              <a:srgbClr val="00B050"/>
            </a:solidFill>
            <a:ln>
              <a:noFill/>
            </a:ln>
            <a:effectLst/>
          </c:spPr>
          <c:cat>
            <c:numRef>
              <c:f>Flexi!$A$2:$A$47</c:f>
              <c:numCache>
                <c:formatCode>General</c:formatCode>
                <c:ptCount val="46"/>
                <c:pt idx="0">
                  <c:v>45</c:v>
                </c:pt>
                <c:pt idx="1">
                  <c:v>44</c:v>
                </c:pt>
                <c:pt idx="2">
                  <c:v>43</c:v>
                </c:pt>
                <c:pt idx="3">
                  <c:v>42</c:v>
                </c:pt>
                <c:pt idx="4">
                  <c:v>41</c:v>
                </c:pt>
                <c:pt idx="5">
                  <c:v>40</c:v>
                </c:pt>
                <c:pt idx="6">
                  <c:v>39</c:v>
                </c:pt>
                <c:pt idx="7">
                  <c:v>38</c:v>
                </c:pt>
                <c:pt idx="8">
                  <c:v>37</c:v>
                </c:pt>
                <c:pt idx="9">
                  <c:v>36</c:v>
                </c:pt>
                <c:pt idx="10">
                  <c:v>35</c:v>
                </c:pt>
                <c:pt idx="11">
                  <c:v>34</c:v>
                </c:pt>
                <c:pt idx="12">
                  <c:v>33</c:v>
                </c:pt>
                <c:pt idx="13">
                  <c:v>32</c:v>
                </c:pt>
                <c:pt idx="14">
                  <c:v>31</c:v>
                </c:pt>
                <c:pt idx="15">
                  <c:v>30</c:v>
                </c:pt>
                <c:pt idx="16">
                  <c:v>29</c:v>
                </c:pt>
                <c:pt idx="17">
                  <c:v>28</c:v>
                </c:pt>
                <c:pt idx="18">
                  <c:v>27</c:v>
                </c:pt>
                <c:pt idx="19">
                  <c:v>26</c:v>
                </c:pt>
                <c:pt idx="20">
                  <c:v>25</c:v>
                </c:pt>
                <c:pt idx="21">
                  <c:v>24</c:v>
                </c:pt>
                <c:pt idx="22">
                  <c:v>23</c:v>
                </c:pt>
                <c:pt idx="23">
                  <c:v>22</c:v>
                </c:pt>
                <c:pt idx="24">
                  <c:v>21</c:v>
                </c:pt>
                <c:pt idx="25">
                  <c:v>20</c:v>
                </c:pt>
                <c:pt idx="26">
                  <c:v>19</c:v>
                </c:pt>
                <c:pt idx="27">
                  <c:v>18</c:v>
                </c:pt>
                <c:pt idx="28">
                  <c:v>17</c:v>
                </c:pt>
                <c:pt idx="29">
                  <c:v>16</c:v>
                </c:pt>
                <c:pt idx="30">
                  <c:v>15</c:v>
                </c:pt>
                <c:pt idx="31">
                  <c:v>14</c:v>
                </c:pt>
                <c:pt idx="32">
                  <c:v>13</c:v>
                </c:pt>
                <c:pt idx="33">
                  <c:v>12</c:v>
                </c:pt>
                <c:pt idx="34">
                  <c:v>11</c:v>
                </c:pt>
                <c:pt idx="35">
                  <c:v>10</c:v>
                </c:pt>
                <c:pt idx="36">
                  <c:v>9</c:v>
                </c:pt>
                <c:pt idx="37">
                  <c:v>8</c:v>
                </c:pt>
                <c:pt idx="38">
                  <c:v>7</c:v>
                </c:pt>
                <c:pt idx="39">
                  <c:v>6</c:v>
                </c:pt>
                <c:pt idx="40">
                  <c:v>5</c:v>
                </c:pt>
                <c:pt idx="41">
                  <c:v>4</c:v>
                </c:pt>
                <c:pt idx="42">
                  <c:v>3</c:v>
                </c:pt>
                <c:pt idx="43">
                  <c:v>2</c:v>
                </c:pt>
                <c:pt idx="44">
                  <c:v>1</c:v>
                </c:pt>
                <c:pt idx="45">
                  <c:v>0</c:v>
                </c:pt>
              </c:numCache>
            </c:numRef>
          </c:cat>
          <c:val>
            <c:numRef>
              <c:f>Flexi!$E$2:$E$47</c:f>
              <c:numCache>
                <c:formatCode>0.00%</c:formatCode>
                <c:ptCount val="46"/>
                <c:pt idx="0">
                  <c:v>0</c:v>
                </c:pt>
                <c:pt idx="1">
                  <c:v>0</c:v>
                </c:pt>
                <c:pt idx="2">
                  <c:v>0</c:v>
                </c:pt>
                <c:pt idx="3">
                  <c:v>0</c:v>
                </c:pt>
                <c:pt idx="4">
                  <c:v>0</c:v>
                </c:pt>
                <c:pt idx="5">
                  <c:v>0</c:v>
                </c:pt>
                <c:pt idx="6">
                  <c:v>0</c:v>
                </c:pt>
                <c:pt idx="7">
                  <c:v>0</c:v>
                </c:pt>
                <c:pt idx="8">
                  <c:v>0</c:v>
                </c:pt>
                <c:pt idx="9">
                  <c:v>0</c:v>
                </c:pt>
                <c:pt idx="10">
                  <c:v>0</c:v>
                </c:pt>
                <c:pt idx="11">
                  <c:v>0</c:v>
                </c:pt>
                <c:pt idx="12">
                  <c:v>3.2192055418997305E-3</c:v>
                </c:pt>
                <c:pt idx="13">
                  <c:v>6.1897039878886801E-3</c:v>
                </c:pt>
                <c:pt idx="14">
                  <c:v>1.0798674524648465E-2</c:v>
                </c:pt>
                <c:pt idx="15">
                  <c:v>1.7637314403732358E-2</c:v>
                </c:pt>
                <c:pt idx="16">
                  <c:v>2.6522498747054098E-2</c:v>
                </c:pt>
                <c:pt idx="17">
                  <c:v>3.6650699159994596E-2</c:v>
                </c:pt>
                <c:pt idx="18">
                  <c:v>4.9048071533107543E-2</c:v>
                </c:pt>
                <c:pt idx="19">
                  <c:v>6.2973345055785099E-2</c:v>
                </c:pt>
                <c:pt idx="20">
                  <c:v>7.7481001456556106E-2</c:v>
                </c:pt>
                <c:pt idx="21">
                  <c:v>9.4069806159994065E-2</c:v>
                </c:pt>
                <c:pt idx="22">
                  <c:v>0.11435820104671669</c:v>
                </c:pt>
                <c:pt idx="23">
                  <c:v>0.1350120245205034</c:v>
                </c:pt>
                <c:pt idx="24">
                  <c:v>0.15584487854728152</c:v>
                </c:pt>
                <c:pt idx="25">
                  <c:v>0.17584355615999603</c:v>
                </c:pt>
                <c:pt idx="26">
                  <c:v>0.19532124968410641</c:v>
                </c:pt>
                <c:pt idx="27">
                  <c:v>0.21457169418430203</c:v>
                </c:pt>
                <c:pt idx="28">
                  <c:v>0.23350825510316153</c:v>
                </c:pt>
                <c:pt idx="29">
                  <c:v>0.25430619215999528</c:v>
                </c:pt>
                <c:pt idx="30">
                  <c:v>0.27532279331735726</c:v>
                </c:pt>
                <c:pt idx="31">
                  <c:v>0.29588282594070903</c:v>
                </c:pt>
                <c:pt idx="32">
                  <c:v>0.31567547859401462</c:v>
                </c:pt>
                <c:pt idx="33">
                  <c:v>0.33440900015999625</c:v>
                </c:pt>
                <c:pt idx="34">
                  <c:v>0.35478316024874895</c:v>
                </c:pt>
                <c:pt idx="35">
                  <c:v>0.37505720570790529</c:v>
                </c:pt>
                <c:pt idx="36">
                  <c:v>0.39462647172197268</c:v>
                </c:pt>
                <c:pt idx="37">
                  <c:v>0.41447979183999711</c:v>
                </c:pt>
                <c:pt idx="38">
                  <c:v>0.43507723418973215</c:v>
                </c:pt>
                <c:pt idx="39">
                  <c:v>0.45522499233144148</c:v>
                </c:pt>
                <c:pt idx="40">
                  <c:v>0.47629717855229969</c:v>
                </c:pt>
                <c:pt idx="41">
                  <c:v>0.49776086383999785</c:v>
                </c:pt>
                <c:pt idx="42">
                  <c:v>0.52038411646898974</c:v>
                </c:pt>
                <c:pt idx="43">
                  <c:v>0.54458064032967135</c:v>
                </c:pt>
                <c:pt idx="44">
                  <c:v>0.57046163615220657</c:v>
                </c:pt>
                <c:pt idx="45">
                  <c:v>0.59999881083999762</c:v>
                </c:pt>
              </c:numCache>
            </c:numRef>
          </c:val>
          <c:extLst>
            <c:ext xmlns:c16="http://schemas.microsoft.com/office/drawing/2014/chart" uri="{C3380CC4-5D6E-409C-BE32-E72D297353CC}">
              <c16:uniqueId val="{00000003-2583-4C97-9E08-B651D5642782}"/>
            </c:ext>
          </c:extLst>
        </c:ser>
        <c:dLbls>
          <c:showLegendKey val="0"/>
          <c:showVal val="0"/>
          <c:showCatName val="0"/>
          <c:showSerName val="0"/>
          <c:showPercent val="0"/>
          <c:showBubbleSize val="0"/>
        </c:dLbls>
        <c:axId val="931500432"/>
        <c:axId val="931500040"/>
      </c:areaChart>
      <c:catAx>
        <c:axId val="931500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Years to retirement</a:t>
                </a:r>
              </a:p>
            </c:rich>
          </c:tx>
          <c:layout>
            <c:manualLayout>
              <c:xMode val="edge"/>
              <c:yMode val="edge"/>
              <c:x val="0.42463375242125312"/>
              <c:y val="0.826953226800584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500040"/>
        <c:crosses val="autoZero"/>
        <c:auto val="1"/>
        <c:lblAlgn val="ctr"/>
        <c:lblOffset val="100"/>
        <c:noMultiLvlLbl val="0"/>
      </c:catAx>
      <c:valAx>
        <c:axId val="93150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Percentage invested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500432"/>
        <c:crosses val="autoZero"/>
        <c:crossBetween val="midCat"/>
      </c:valAx>
      <c:spPr>
        <a:noFill/>
        <a:ln>
          <a:noFill/>
        </a:ln>
        <a:effectLst/>
      </c:spPr>
    </c:plotArea>
    <c:legend>
      <c:legendPos val="b"/>
      <c:layout>
        <c:manualLayout>
          <c:xMode val="edge"/>
          <c:yMode val="edge"/>
          <c:x val="0.11912655247990908"/>
          <c:y val="0.91179058027668747"/>
          <c:w val="0.84130006945008162"/>
          <c:h val="5.86450833291375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BF9020B96A4597893F44D7A47B51" ma:contentTypeVersion="16" ma:contentTypeDescription="Create a new document." ma:contentTypeScope="" ma:versionID="68bb87a7d0b618566fe372e3f069ddc4">
  <xsd:schema xmlns:xsd="http://www.w3.org/2001/XMLSchema" xmlns:xs="http://www.w3.org/2001/XMLSchema" xmlns:p="http://schemas.microsoft.com/office/2006/metadata/properties" xmlns:ns2="2097631b-e6d0-4b40-86ed-77480e76e56b" xmlns:ns3="458404b6-3d56-4160-ab81-df6b951dbf6c" targetNamespace="http://schemas.microsoft.com/office/2006/metadata/properties" ma:root="true" ma:fieldsID="d668dd19a9706d686c988b9d7a916a27" ns2:_="" ns3:_="">
    <xsd:import namespace="2097631b-e6d0-4b40-86ed-77480e76e56b"/>
    <xsd:import namespace="458404b6-3d56-4160-ab81-df6b951db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7631b-e6d0-4b40-86ed-77480e76e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dd5ff-ce71-43db-b65a-0211433ebb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404b6-3d56-4160-ab81-df6b951dbf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daf83a-05a2-4365-a0cf-b489eb6539b1}" ma:internalName="TaxCatchAll" ma:showField="CatchAllData" ma:web="458404b6-3d56-4160-ab81-df6b951dbf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97631b-e6d0-4b40-86ed-77480e76e56b">
      <Terms xmlns="http://schemas.microsoft.com/office/infopath/2007/PartnerControls"/>
    </lcf76f155ced4ddcb4097134ff3c332f>
    <TaxCatchAll xmlns="458404b6-3d56-4160-ab81-df6b951dbf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915EA-9404-45B1-9706-89CF1CC9C4F9}"/>
</file>

<file path=customXml/itemProps2.xml><?xml version="1.0" encoding="utf-8"?>
<ds:datastoreItem xmlns:ds="http://schemas.openxmlformats.org/officeDocument/2006/customXml" ds:itemID="{61B188EA-D140-4BF2-8951-82F1738A98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1E72D7-C558-48A4-848A-957577DA5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Capdeville (Magnox)</dc:creator>
  <cp:keywords/>
  <dc:description/>
  <cp:lastModifiedBy>Kelly Capdeville (NRS)</cp:lastModifiedBy>
  <cp:revision>2</cp:revision>
  <dcterms:created xsi:type="dcterms:W3CDTF">2025-09-23T10:16:00Z</dcterms:created>
  <dcterms:modified xsi:type="dcterms:W3CDTF">2025-09-23T10:16:00Z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484598-546c-43a2-bfce-4d67ee2f6497_Enabled">
    <vt:lpwstr>true</vt:lpwstr>
  </property>
  <property fmtid="{D5CDD505-2E9C-101B-9397-08002B2CF9AE}" pid="3" name="MSIP_Label_fe484598-546c-43a2-bfce-4d67ee2f6497_SetDate">
    <vt:lpwstr>2022-12-30T16:17:27Z</vt:lpwstr>
  </property>
  <property fmtid="{D5CDD505-2E9C-101B-9397-08002B2CF9AE}" pid="4" name="MSIP_Label_fe484598-546c-43a2-bfce-4d67ee2f6497_Method">
    <vt:lpwstr>Privileged</vt:lpwstr>
  </property>
  <property fmtid="{D5CDD505-2E9C-101B-9397-08002B2CF9AE}" pid="5" name="MSIP_Label_fe484598-546c-43a2-bfce-4d67ee2f6497_Name">
    <vt:lpwstr>OFFICIAL [UNMARKED]</vt:lpwstr>
  </property>
  <property fmtid="{D5CDD505-2E9C-101B-9397-08002B2CF9AE}" pid="6" name="MSIP_Label_fe484598-546c-43a2-bfce-4d67ee2f6497_SiteId">
    <vt:lpwstr>8af7874e-5d8a-4685-85d9-93475ca367ef</vt:lpwstr>
  </property>
  <property fmtid="{D5CDD505-2E9C-101B-9397-08002B2CF9AE}" pid="7" name="MSIP_Label_fe484598-546c-43a2-bfce-4d67ee2f6497_ActionId">
    <vt:lpwstr>be5566ee-89ca-4a73-b873-f2de52314376</vt:lpwstr>
  </property>
  <property fmtid="{D5CDD505-2E9C-101B-9397-08002B2CF9AE}" pid="8" name="MSIP_Label_fe484598-546c-43a2-bfce-4d67ee2f6497_ContentBits">
    <vt:lpwstr>0</vt:lpwstr>
  </property>
  <property fmtid="{D5CDD505-2E9C-101B-9397-08002B2CF9AE}" pid="9" name="ContentTypeId">
    <vt:lpwstr>0x010100B435BF9020B96A4597893F44D7A47B51</vt:lpwstr>
  </property>
  <property fmtid="{D5CDD505-2E9C-101B-9397-08002B2CF9AE}" pid="10" name="Order">
    <vt:r8>100</vt:r8>
  </property>
</Properties>
</file>